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ED" w:rsidRDefault="00CB6F39" w:rsidP="00E428FE">
      <w:pPr>
        <w:pStyle w:val="2"/>
        <w:spacing w:before="0" w:line="360" w:lineRule="auto"/>
        <w:jc w:val="center"/>
        <w:rPr>
          <w:rFonts w:eastAsia="宋体"/>
          <w:color w:val="000000" w:themeColor="text1"/>
          <w:sz w:val="44"/>
          <w:szCs w:val="44"/>
          <w:lang w:val="zh-CN"/>
        </w:rPr>
      </w:pPr>
      <w:bookmarkStart w:id="0" w:name="_Toc488936361"/>
      <w:bookmarkStart w:id="1" w:name="_Toc488942563"/>
      <w:bookmarkStart w:id="2" w:name="_Toc488942644"/>
      <w:r w:rsidRPr="004F29A9">
        <w:rPr>
          <w:rFonts w:eastAsia="宋体" w:hint="eastAsia"/>
          <w:color w:val="000000" w:themeColor="text1"/>
          <w:sz w:val="44"/>
          <w:szCs w:val="44"/>
          <w:lang w:val="zh-CN"/>
        </w:rPr>
        <w:t>浅析近期</w:t>
      </w:r>
      <w:r>
        <w:rPr>
          <w:rFonts w:eastAsia="宋体" w:hint="eastAsia"/>
          <w:color w:val="000000" w:themeColor="text1"/>
          <w:sz w:val="44"/>
          <w:szCs w:val="44"/>
          <w:lang w:val="zh-CN"/>
        </w:rPr>
        <w:t>房地产政策导向</w:t>
      </w:r>
    </w:p>
    <w:p w:rsidR="009C69CF" w:rsidRPr="00FB1DA0" w:rsidRDefault="00CB6F39" w:rsidP="00E428FE">
      <w:pPr>
        <w:pStyle w:val="2"/>
        <w:spacing w:before="0" w:line="360" w:lineRule="auto"/>
        <w:jc w:val="center"/>
        <w:rPr>
          <w:rFonts w:ascii="黑体" w:eastAsia="黑体" w:hAnsi="黑体"/>
          <w:color w:val="000000" w:themeColor="text1"/>
          <w:sz w:val="44"/>
          <w:szCs w:val="44"/>
          <w:lang w:val="zh-CN"/>
        </w:rPr>
      </w:pPr>
      <w:r w:rsidRPr="004F29A9">
        <w:rPr>
          <w:rFonts w:eastAsia="宋体" w:hint="eastAsia"/>
          <w:color w:val="000000" w:themeColor="text1"/>
          <w:sz w:val="44"/>
          <w:szCs w:val="44"/>
          <w:lang w:val="zh-CN"/>
        </w:rPr>
        <w:t>对住宅市场走势</w:t>
      </w:r>
      <w:r>
        <w:rPr>
          <w:rFonts w:eastAsia="宋体" w:hint="eastAsia"/>
          <w:color w:val="000000" w:themeColor="text1"/>
          <w:sz w:val="44"/>
          <w:szCs w:val="44"/>
          <w:lang w:val="zh-CN"/>
        </w:rPr>
        <w:t>和发展</w:t>
      </w:r>
      <w:r w:rsidRPr="004F29A9">
        <w:rPr>
          <w:rFonts w:eastAsia="宋体" w:hint="eastAsia"/>
          <w:color w:val="000000" w:themeColor="text1"/>
          <w:sz w:val="44"/>
          <w:szCs w:val="44"/>
          <w:lang w:val="zh-CN"/>
        </w:rPr>
        <w:t>的影响</w:t>
      </w:r>
    </w:p>
    <w:p w:rsidR="006545CC" w:rsidRDefault="006545CC" w:rsidP="00E428FE">
      <w:pPr>
        <w:spacing w:after="240" w:line="360" w:lineRule="auto"/>
        <w:jc w:val="center"/>
        <w:rPr>
          <w:rFonts w:ascii="仿宋_GB2312" w:eastAsia="仿宋_GB2312"/>
          <w:color w:val="000000" w:themeColor="text1"/>
          <w:sz w:val="32"/>
          <w:szCs w:val="32"/>
        </w:rPr>
      </w:pPr>
      <w:bookmarkStart w:id="3" w:name="_Toc488936367"/>
      <w:bookmarkStart w:id="4" w:name="_Toc488942575"/>
      <w:bookmarkStart w:id="5" w:name="_Toc488942656"/>
      <w:bookmarkEnd w:id="0"/>
      <w:bookmarkEnd w:id="1"/>
      <w:bookmarkEnd w:id="2"/>
      <w:r w:rsidRPr="004F29A9">
        <w:rPr>
          <w:rFonts w:hint="eastAsia"/>
          <w:color w:val="000000" w:themeColor="text1"/>
        </w:rPr>
        <w:t xml:space="preserve">  </w:t>
      </w:r>
      <w:r w:rsidRPr="00FB1DA0">
        <w:rPr>
          <w:rFonts w:ascii="仿宋_GB2312" w:eastAsia="仿宋_GB2312" w:hint="eastAsia"/>
          <w:color w:val="000000" w:themeColor="text1"/>
          <w:sz w:val="32"/>
          <w:szCs w:val="32"/>
        </w:rPr>
        <w:t>蒋炎冰</w:t>
      </w:r>
    </w:p>
    <w:p w:rsidR="00AF3AFC" w:rsidRPr="00EC3EA7" w:rsidRDefault="00AF3AFC" w:rsidP="00E428FE">
      <w:pPr>
        <w:spacing w:after="240" w:line="360" w:lineRule="auto"/>
        <w:jc w:val="center"/>
        <w:rPr>
          <w:rFonts w:ascii="仿宋_GB2312" w:eastAsia="仿宋_GB2312"/>
          <w:color w:val="000000" w:themeColor="text1"/>
          <w:sz w:val="21"/>
          <w:szCs w:val="21"/>
        </w:rPr>
      </w:pPr>
    </w:p>
    <w:p w:rsidR="00C8069F" w:rsidRPr="00FB1DA0" w:rsidRDefault="00FB1DA0" w:rsidP="00E428FE">
      <w:pPr>
        <w:adjustRightInd w:val="0"/>
        <w:snapToGrid w:val="0"/>
        <w:spacing w:line="360" w:lineRule="auto"/>
        <w:rPr>
          <w:rFonts w:ascii="仿宋_GB2312" w:eastAsia="仿宋_GB2312"/>
          <w:b/>
          <w:color w:val="000000" w:themeColor="text1"/>
          <w:sz w:val="32"/>
          <w:szCs w:val="32"/>
        </w:rPr>
      </w:pPr>
      <w:r>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摘要</w:t>
      </w:r>
      <w:r>
        <w:rPr>
          <w:rFonts w:ascii="仿宋_GB2312" w:eastAsia="仿宋_GB2312" w:hint="eastAsia"/>
          <w:color w:val="000000" w:themeColor="text1"/>
          <w:sz w:val="32"/>
          <w:szCs w:val="32"/>
        </w:rPr>
        <w:t>】</w:t>
      </w:r>
      <w:r w:rsidR="00C8069F" w:rsidRPr="00FB1DA0">
        <w:rPr>
          <w:rFonts w:ascii="仿宋_GB2312" w:eastAsia="仿宋_GB2312" w:hint="eastAsia"/>
          <w:color w:val="000000" w:themeColor="text1"/>
          <w:sz w:val="32"/>
          <w:szCs w:val="32"/>
        </w:rPr>
        <w:t>2016年10月至今，</w:t>
      </w:r>
      <w:r w:rsidR="00EA108E" w:rsidRPr="00FB1DA0">
        <w:rPr>
          <w:rFonts w:ascii="仿宋_GB2312" w:eastAsia="仿宋_GB2312" w:hint="eastAsia"/>
          <w:color w:val="000000" w:themeColor="text1"/>
          <w:sz w:val="32"/>
          <w:szCs w:val="32"/>
        </w:rPr>
        <w:t>多地政府不断加码楼市调控政策，调控力度不断升级，</w:t>
      </w:r>
      <w:r w:rsidR="00C8069F" w:rsidRPr="00FB1DA0">
        <w:rPr>
          <w:rFonts w:ascii="仿宋_GB2312" w:eastAsia="仿宋_GB2312" w:hint="eastAsia"/>
          <w:color w:val="000000" w:themeColor="text1"/>
          <w:sz w:val="32"/>
          <w:szCs w:val="32"/>
        </w:rPr>
        <w:t>时至今日已初现成效</w:t>
      </w:r>
      <w:r w:rsidR="004748EA" w:rsidRPr="00FB1DA0">
        <w:rPr>
          <w:rFonts w:ascii="仿宋_GB2312" w:eastAsia="仿宋_GB2312" w:hint="eastAsia"/>
          <w:color w:val="000000" w:themeColor="text1"/>
          <w:sz w:val="32"/>
          <w:szCs w:val="32"/>
        </w:rPr>
        <w:t>，但要使</w:t>
      </w:r>
      <w:r w:rsidR="00C52334" w:rsidRPr="00FB1DA0">
        <w:rPr>
          <w:rFonts w:ascii="仿宋_GB2312" w:eastAsia="仿宋_GB2312" w:hint="eastAsia"/>
          <w:color w:val="000000" w:themeColor="text1"/>
          <w:sz w:val="32"/>
          <w:szCs w:val="32"/>
        </w:rPr>
        <w:t>住房</w:t>
      </w:r>
      <w:r w:rsidR="004748EA" w:rsidRPr="00FB1DA0">
        <w:rPr>
          <w:rFonts w:ascii="仿宋_GB2312" w:eastAsia="仿宋_GB2312" w:hint="eastAsia"/>
          <w:color w:val="000000" w:themeColor="text1"/>
          <w:sz w:val="32"/>
          <w:szCs w:val="32"/>
        </w:rPr>
        <w:t>回归居住属性则需房地产长效机制的配合</w:t>
      </w:r>
      <w:r w:rsidR="00AF7E3A" w:rsidRPr="00FB1DA0">
        <w:rPr>
          <w:rFonts w:ascii="仿宋_GB2312" w:eastAsia="仿宋_GB2312" w:hint="eastAsia"/>
          <w:color w:val="000000" w:themeColor="text1"/>
          <w:sz w:val="32"/>
          <w:szCs w:val="32"/>
        </w:rPr>
        <w:t>，疏堵结合逐步让住宅市场趋于理性</w:t>
      </w:r>
      <w:r w:rsidR="004748EA" w:rsidRPr="00FB1DA0">
        <w:rPr>
          <w:rFonts w:ascii="仿宋_GB2312" w:eastAsia="仿宋_GB2312" w:hint="eastAsia"/>
          <w:color w:val="000000" w:themeColor="text1"/>
          <w:sz w:val="32"/>
          <w:szCs w:val="32"/>
        </w:rPr>
        <w:t>。</w:t>
      </w:r>
      <w:r w:rsidR="00C8069F" w:rsidRPr="00FB1DA0">
        <w:rPr>
          <w:rFonts w:ascii="仿宋_GB2312" w:eastAsia="仿宋_GB2312" w:hint="eastAsia"/>
          <w:color w:val="000000" w:themeColor="text1"/>
          <w:sz w:val="32"/>
          <w:szCs w:val="32"/>
        </w:rPr>
        <w:t>本文</w:t>
      </w:r>
      <w:r w:rsidR="00AF715D" w:rsidRPr="00FB1DA0">
        <w:rPr>
          <w:rFonts w:ascii="仿宋_GB2312" w:eastAsia="仿宋_GB2312" w:hint="eastAsia"/>
          <w:color w:val="000000" w:themeColor="text1"/>
          <w:sz w:val="32"/>
          <w:szCs w:val="32"/>
        </w:rPr>
        <w:t>主要通过</w:t>
      </w:r>
      <w:r w:rsidR="00AF7E3A" w:rsidRPr="00FB1DA0">
        <w:rPr>
          <w:rFonts w:ascii="仿宋_GB2312" w:eastAsia="仿宋_GB2312" w:cs="Arial" w:hint="eastAsia"/>
          <w:bCs/>
          <w:color w:val="000000" w:themeColor="text1"/>
          <w:sz w:val="32"/>
          <w:szCs w:val="32"/>
        </w:rPr>
        <w:t>研究调控政策</w:t>
      </w:r>
      <w:r w:rsidR="00AF715D" w:rsidRPr="00FB1DA0">
        <w:rPr>
          <w:rFonts w:ascii="仿宋_GB2312" w:eastAsia="仿宋_GB2312" w:cs="Arial" w:hint="eastAsia"/>
          <w:bCs/>
          <w:color w:val="000000" w:themeColor="text1"/>
          <w:sz w:val="32"/>
          <w:szCs w:val="32"/>
        </w:rPr>
        <w:t>和长效机制</w:t>
      </w:r>
      <w:r w:rsidR="00AF7E3A" w:rsidRPr="00FB1DA0">
        <w:rPr>
          <w:rFonts w:ascii="仿宋_GB2312" w:eastAsia="仿宋_GB2312" w:cs="Arial" w:hint="eastAsia"/>
          <w:bCs/>
          <w:color w:val="000000" w:themeColor="text1"/>
          <w:sz w:val="32"/>
          <w:szCs w:val="32"/>
        </w:rPr>
        <w:t>的建立</w:t>
      </w:r>
      <w:r w:rsidR="00AF715D" w:rsidRPr="00FB1DA0">
        <w:rPr>
          <w:rFonts w:ascii="仿宋_GB2312" w:eastAsia="仿宋_GB2312" w:cs="Arial" w:hint="eastAsia"/>
          <w:bCs/>
          <w:color w:val="000000" w:themeColor="text1"/>
          <w:sz w:val="32"/>
          <w:szCs w:val="32"/>
        </w:rPr>
        <w:t>，</w:t>
      </w:r>
      <w:r w:rsidR="00D00D04" w:rsidRPr="00FB1DA0">
        <w:rPr>
          <w:rFonts w:ascii="仿宋_GB2312" w:eastAsia="仿宋_GB2312" w:hint="eastAsia"/>
          <w:color w:val="000000" w:themeColor="text1"/>
          <w:sz w:val="32"/>
          <w:szCs w:val="32"/>
        </w:rPr>
        <w:t>分析</w:t>
      </w:r>
      <w:r w:rsidR="00C8069F" w:rsidRPr="00FB1DA0">
        <w:rPr>
          <w:rFonts w:ascii="仿宋_GB2312" w:eastAsia="仿宋_GB2312" w:hint="eastAsia"/>
          <w:color w:val="000000" w:themeColor="text1"/>
          <w:sz w:val="32"/>
          <w:szCs w:val="32"/>
        </w:rPr>
        <w:t>住宅市场的变动趋势，以期为</w:t>
      </w:r>
      <w:r w:rsidR="00964431" w:rsidRPr="00FB1DA0">
        <w:rPr>
          <w:rFonts w:ascii="仿宋_GB2312" w:eastAsia="仿宋_GB2312" w:hint="eastAsia"/>
          <w:color w:val="000000" w:themeColor="text1"/>
          <w:sz w:val="32"/>
          <w:szCs w:val="32"/>
        </w:rPr>
        <w:t>房地产估价预测</w:t>
      </w:r>
      <w:r w:rsidR="00C8069F" w:rsidRPr="00FB1DA0">
        <w:rPr>
          <w:rFonts w:ascii="仿宋_GB2312" w:eastAsia="仿宋_GB2312" w:hint="eastAsia"/>
          <w:color w:val="000000" w:themeColor="text1"/>
          <w:sz w:val="32"/>
          <w:szCs w:val="32"/>
        </w:rPr>
        <w:t>提供参考。</w:t>
      </w:r>
    </w:p>
    <w:p w:rsidR="006545CC" w:rsidRDefault="00FB1DA0" w:rsidP="00E428FE">
      <w:pPr>
        <w:spacing w:after="240"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关键词</w:t>
      </w:r>
      <w:r>
        <w:rPr>
          <w:rFonts w:ascii="仿宋_GB2312" w:eastAsia="仿宋_GB2312" w:hint="eastAsia"/>
          <w:color w:val="000000" w:themeColor="text1"/>
          <w:sz w:val="32"/>
          <w:szCs w:val="32"/>
        </w:rPr>
        <w:t>】</w:t>
      </w:r>
      <w:r w:rsidR="00C8069F" w:rsidRPr="00FB1DA0">
        <w:rPr>
          <w:rFonts w:ascii="仿宋_GB2312" w:eastAsia="仿宋_GB2312" w:hint="eastAsia"/>
          <w:color w:val="000000" w:themeColor="text1"/>
          <w:sz w:val="32"/>
          <w:szCs w:val="32"/>
        </w:rPr>
        <w:t>住宅市场</w:t>
      </w:r>
      <w:r w:rsidR="004F29A9" w:rsidRPr="00FB1DA0">
        <w:rPr>
          <w:rFonts w:ascii="仿宋_GB2312" w:eastAsia="仿宋_GB2312" w:hint="eastAsia"/>
          <w:color w:val="000000" w:themeColor="text1"/>
          <w:sz w:val="32"/>
          <w:szCs w:val="32"/>
        </w:rPr>
        <w:t>；</w:t>
      </w:r>
      <w:r w:rsidR="00C8069F" w:rsidRPr="00FB1DA0">
        <w:rPr>
          <w:rFonts w:ascii="仿宋_GB2312" w:eastAsia="仿宋_GB2312" w:hint="eastAsia"/>
          <w:color w:val="000000" w:themeColor="text1"/>
          <w:sz w:val="32"/>
          <w:szCs w:val="32"/>
        </w:rPr>
        <w:t>宏观调控</w:t>
      </w:r>
      <w:r w:rsidR="004F29A9" w:rsidRPr="00FB1DA0">
        <w:rPr>
          <w:rFonts w:ascii="仿宋_GB2312" w:eastAsia="仿宋_GB2312" w:hint="eastAsia"/>
          <w:color w:val="000000" w:themeColor="text1"/>
          <w:sz w:val="32"/>
          <w:szCs w:val="32"/>
        </w:rPr>
        <w:t>；</w:t>
      </w:r>
      <w:r w:rsidR="004748EA" w:rsidRPr="00FB1DA0">
        <w:rPr>
          <w:rFonts w:ascii="仿宋_GB2312" w:eastAsia="仿宋_GB2312" w:hint="eastAsia"/>
          <w:color w:val="000000" w:themeColor="text1"/>
          <w:sz w:val="32"/>
          <w:szCs w:val="32"/>
        </w:rPr>
        <w:t>长效机制</w:t>
      </w:r>
    </w:p>
    <w:p w:rsidR="00AF3AFC" w:rsidRPr="00FB1DA0" w:rsidRDefault="00AF3AFC" w:rsidP="00E428FE">
      <w:pPr>
        <w:spacing w:after="240" w:line="360" w:lineRule="auto"/>
        <w:rPr>
          <w:rFonts w:ascii="仿宋_GB2312" w:eastAsia="仿宋_GB2312"/>
          <w:color w:val="000000" w:themeColor="text1"/>
          <w:sz w:val="32"/>
          <w:szCs w:val="32"/>
        </w:rPr>
      </w:pPr>
    </w:p>
    <w:p w:rsidR="00DA5D00" w:rsidRPr="00FB1DA0" w:rsidRDefault="00964C0D" w:rsidP="00E428FE">
      <w:pPr>
        <w:adjustRightInd w:val="0"/>
        <w:snapToGrid w:val="0"/>
        <w:spacing w:line="360" w:lineRule="auto"/>
        <w:ind w:firstLineChars="236" w:firstLine="755"/>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自</w:t>
      </w:r>
      <w:r w:rsidR="00DA5D00" w:rsidRPr="00FB1DA0">
        <w:rPr>
          <w:rFonts w:ascii="仿宋_GB2312" w:eastAsia="仿宋_GB2312" w:hint="eastAsia"/>
          <w:color w:val="000000" w:themeColor="text1"/>
          <w:sz w:val="32"/>
          <w:szCs w:val="32"/>
        </w:rPr>
        <w:t>2016年十</w:t>
      </w:r>
      <w:r w:rsidR="00912DCA" w:rsidRPr="00FB1DA0">
        <w:rPr>
          <w:rFonts w:ascii="仿宋_GB2312" w:eastAsia="仿宋_GB2312" w:hint="eastAsia"/>
          <w:color w:val="000000" w:themeColor="text1"/>
          <w:sz w:val="32"/>
          <w:szCs w:val="32"/>
        </w:rPr>
        <w:t>月</w:t>
      </w:r>
      <w:r w:rsidR="00DA5D00" w:rsidRPr="00FB1DA0">
        <w:rPr>
          <w:rFonts w:ascii="仿宋_GB2312" w:eastAsia="仿宋_GB2312" w:hint="eastAsia"/>
          <w:color w:val="000000" w:themeColor="text1"/>
          <w:sz w:val="32"/>
          <w:szCs w:val="32"/>
        </w:rPr>
        <w:t>之后，全国各地对于住宅市场的调控政策便以诸葛连弩之势</w:t>
      </w:r>
      <w:r w:rsidR="00D65635" w:rsidRPr="00FB1DA0">
        <w:rPr>
          <w:rFonts w:ascii="仿宋_GB2312" w:eastAsia="仿宋_GB2312" w:hint="eastAsia"/>
          <w:color w:val="000000" w:themeColor="text1"/>
          <w:sz w:val="32"/>
          <w:szCs w:val="32"/>
        </w:rPr>
        <w:t>下发，时隔近一年，调控政策</w:t>
      </w:r>
      <w:r w:rsidRPr="00FB1DA0">
        <w:rPr>
          <w:rFonts w:ascii="仿宋_GB2312" w:eastAsia="仿宋_GB2312" w:hint="eastAsia"/>
          <w:color w:val="000000" w:themeColor="text1"/>
          <w:sz w:val="32"/>
          <w:szCs w:val="32"/>
        </w:rPr>
        <w:t>的影响</w:t>
      </w:r>
      <w:r w:rsidR="00DA5D00" w:rsidRPr="00FB1DA0">
        <w:rPr>
          <w:rFonts w:ascii="仿宋_GB2312" w:eastAsia="仿宋_GB2312" w:hint="eastAsia"/>
          <w:color w:val="000000" w:themeColor="text1"/>
          <w:sz w:val="32"/>
          <w:szCs w:val="32"/>
        </w:rPr>
        <w:t>逐渐明朗。</w:t>
      </w:r>
    </w:p>
    <w:p w:rsidR="002D5B05" w:rsidRPr="00FB1DA0" w:rsidRDefault="000176D9" w:rsidP="00E428FE">
      <w:pPr>
        <w:pStyle w:val="2"/>
        <w:spacing w:before="0" w:line="360" w:lineRule="auto"/>
        <w:ind w:firstLineChars="200" w:firstLine="723"/>
        <w:jc w:val="both"/>
        <w:rPr>
          <w:rFonts w:ascii="仿宋_GB2312" w:eastAsia="仿宋_GB2312"/>
          <w:color w:val="000000" w:themeColor="text1"/>
          <w:sz w:val="32"/>
          <w:szCs w:val="32"/>
          <w:lang w:val="zh-CN"/>
        </w:rPr>
      </w:pPr>
      <w:r w:rsidRPr="00FB1DA0">
        <w:rPr>
          <w:rFonts w:ascii="仿宋_GB2312" w:eastAsia="仿宋_GB2312" w:hint="eastAsia"/>
          <w:color w:val="000000" w:themeColor="text1"/>
          <w:sz w:val="32"/>
          <w:szCs w:val="32"/>
          <w:lang w:val="zh-CN"/>
        </w:rPr>
        <w:t>一</w:t>
      </w:r>
      <w:r w:rsidR="004F29A9" w:rsidRPr="00FB1DA0">
        <w:rPr>
          <w:rFonts w:ascii="仿宋_GB2312" w:eastAsia="仿宋_GB2312" w:hint="eastAsia"/>
          <w:color w:val="000000" w:themeColor="text1"/>
          <w:sz w:val="32"/>
          <w:szCs w:val="32"/>
          <w:lang w:val="zh-CN"/>
        </w:rPr>
        <w:t>、</w:t>
      </w:r>
      <w:r w:rsidRPr="00FB1DA0">
        <w:rPr>
          <w:rFonts w:ascii="仿宋_GB2312" w:eastAsia="仿宋_GB2312" w:hint="eastAsia"/>
          <w:color w:val="000000" w:themeColor="text1"/>
          <w:sz w:val="32"/>
          <w:szCs w:val="32"/>
          <w:lang w:val="zh-CN"/>
        </w:rPr>
        <w:t>近期</w:t>
      </w:r>
      <w:r w:rsidR="002D5B05" w:rsidRPr="00FB1DA0">
        <w:rPr>
          <w:rFonts w:ascii="仿宋_GB2312" w:eastAsia="仿宋_GB2312" w:hint="eastAsia"/>
          <w:color w:val="000000" w:themeColor="text1"/>
          <w:sz w:val="32"/>
          <w:szCs w:val="32"/>
          <w:lang w:val="zh-CN"/>
        </w:rPr>
        <w:t>调控政策</w:t>
      </w:r>
      <w:r w:rsidRPr="00FB1DA0">
        <w:rPr>
          <w:rFonts w:ascii="仿宋_GB2312" w:eastAsia="仿宋_GB2312" w:hint="eastAsia"/>
          <w:color w:val="000000" w:themeColor="text1"/>
          <w:sz w:val="32"/>
          <w:szCs w:val="32"/>
          <w:lang w:val="zh-CN"/>
        </w:rPr>
        <w:t>简析</w:t>
      </w:r>
    </w:p>
    <w:p w:rsidR="00DA798E" w:rsidRPr="00FB1DA0" w:rsidRDefault="00074136" w:rsidP="00E428FE">
      <w:pPr>
        <w:pStyle w:val="a3"/>
        <w:spacing w:after="60" w:line="360" w:lineRule="auto"/>
        <w:ind w:left="0" w:firstLineChars="200" w:firstLine="643"/>
        <w:rPr>
          <w:rFonts w:ascii="仿宋_GB2312" w:eastAsia="仿宋_GB2312" w:cs="Arial"/>
          <w:b/>
          <w:bCs/>
          <w:color w:val="000000" w:themeColor="text1"/>
          <w:sz w:val="32"/>
          <w:szCs w:val="32"/>
        </w:rPr>
      </w:pPr>
      <w:r>
        <w:rPr>
          <w:rFonts w:ascii="仿宋_GB2312" w:eastAsia="仿宋_GB2312" w:cs="Arial" w:hint="eastAsia"/>
          <w:b/>
          <w:bCs/>
          <w:color w:val="000000" w:themeColor="text1"/>
          <w:sz w:val="32"/>
          <w:szCs w:val="32"/>
        </w:rPr>
        <w:t>（一）</w:t>
      </w:r>
      <w:r w:rsidR="000176D9" w:rsidRPr="00FB1DA0">
        <w:rPr>
          <w:rFonts w:ascii="仿宋_GB2312" w:eastAsia="仿宋_GB2312" w:cs="Arial" w:hint="eastAsia"/>
          <w:b/>
          <w:bCs/>
          <w:color w:val="000000" w:themeColor="text1"/>
          <w:sz w:val="32"/>
          <w:szCs w:val="32"/>
        </w:rPr>
        <w:t>楼市调控政策创新，降低市场流动性</w:t>
      </w:r>
    </w:p>
    <w:p w:rsidR="0092284B" w:rsidRPr="00FB1DA0" w:rsidRDefault="0092284B"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自2016年起，一线城市房价进入快速</w:t>
      </w:r>
      <w:r w:rsidR="00D65635" w:rsidRPr="00FB1DA0">
        <w:rPr>
          <w:rFonts w:ascii="仿宋_GB2312" w:eastAsia="仿宋_GB2312" w:hint="eastAsia"/>
          <w:color w:val="000000" w:themeColor="text1"/>
          <w:sz w:val="32"/>
          <w:szCs w:val="32"/>
        </w:rPr>
        <w:t>上行通道，</w:t>
      </w:r>
      <w:r w:rsidR="00EC4444" w:rsidRPr="00FB1DA0">
        <w:rPr>
          <w:rFonts w:ascii="仿宋_GB2312" w:eastAsia="仿宋_GB2312" w:hint="eastAsia"/>
          <w:color w:val="000000" w:themeColor="text1"/>
          <w:sz w:val="32"/>
          <w:szCs w:val="32"/>
        </w:rPr>
        <w:t>之后该趋势便蔓延至杭州、合肥、苏州等热门二线城市。</w:t>
      </w:r>
      <w:r w:rsidR="00D65635" w:rsidRPr="00FB1DA0">
        <w:rPr>
          <w:rFonts w:ascii="仿宋_GB2312" w:eastAsia="仿宋_GB2312" w:hint="eastAsia"/>
          <w:color w:val="000000" w:themeColor="text1"/>
          <w:sz w:val="32"/>
          <w:szCs w:val="32"/>
        </w:rPr>
        <w:t>在房价仍</w:t>
      </w:r>
      <w:r w:rsidR="00D65635" w:rsidRPr="00FB1DA0">
        <w:rPr>
          <w:rFonts w:ascii="仿宋_GB2312" w:eastAsia="仿宋_GB2312" w:hint="eastAsia"/>
          <w:color w:val="000000" w:themeColor="text1"/>
          <w:sz w:val="32"/>
          <w:szCs w:val="32"/>
        </w:rPr>
        <w:lastRenderedPageBreak/>
        <w:t>将</w:t>
      </w:r>
      <w:r w:rsidRPr="00FB1DA0">
        <w:rPr>
          <w:rFonts w:ascii="仿宋_GB2312" w:eastAsia="仿宋_GB2312" w:hint="eastAsia"/>
          <w:color w:val="000000" w:themeColor="text1"/>
          <w:sz w:val="32"/>
          <w:szCs w:val="32"/>
        </w:rPr>
        <w:t>上涨的普遍市场预期之中，</w:t>
      </w:r>
      <w:r w:rsidR="00F82519" w:rsidRPr="00FB1DA0">
        <w:rPr>
          <w:rFonts w:ascii="仿宋_GB2312" w:eastAsia="仿宋_GB2312" w:hint="eastAsia"/>
          <w:color w:val="000000" w:themeColor="text1"/>
          <w:sz w:val="32"/>
          <w:szCs w:val="32"/>
        </w:rPr>
        <w:t>蚌埠、北海等三四线城市接棒</w:t>
      </w:r>
      <w:r w:rsidRPr="00FB1DA0">
        <w:rPr>
          <w:rFonts w:ascii="仿宋_GB2312" w:eastAsia="仿宋_GB2312" w:hint="eastAsia"/>
          <w:color w:val="000000" w:themeColor="text1"/>
          <w:sz w:val="32"/>
          <w:szCs w:val="32"/>
        </w:rPr>
        <w:t>以一线城市为核心的各大城市群</w:t>
      </w:r>
      <w:r w:rsidR="00F82519" w:rsidRPr="00FB1DA0">
        <w:rPr>
          <w:rFonts w:ascii="仿宋_GB2312" w:eastAsia="仿宋_GB2312" w:hint="eastAsia"/>
          <w:color w:val="000000" w:themeColor="text1"/>
          <w:sz w:val="32"/>
          <w:szCs w:val="32"/>
        </w:rPr>
        <w:t>，开始</w:t>
      </w:r>
      <w:r w:rsidR="00D65635" w:rsidRPr="00FB1DA0">
        <w:rPr>
          <w:rFonts w:ascii="仿宋_GB2312" w:eastAsia="仿宋_GB2312" w:hint="eastAsia"/>
          <w:color w:val="000000" w:themeColor="text1"/>
          <w:sz w:val="32"/>
          <w:szCs w:val="32"/>
        </w:rPr>
        <w:t>形成新的上升梯队</w:t>
      </w:r>
      <w:r w:rsidRPr="00FB1DA0">
        <w:rPr>
          <w:rFonts w:ascii="仿宋_GB2312" w:eastAsia="仿宋_GB2312" w:hint="eastAsia"/>
          <w:color w:val="000000" w:themeColor="text1"/>
          <w:sz w:val="32"/>
          <w:szCs w:val="32"/>
        </w:rPr>
        <w:t>。</w:t>
      </w:r>
    </w:p>
    <w:p w:rsidR="0092284B" w:rsidRPr="00FB1DA0" w:rsidRDefault="0092284B"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近年来三四线城市的货币化安置，大城市限购后溢出资金的浇灌以及本地客的追涨心理均是造成房价快速拉升的原因</w:t>
      </w:r>
      <w:r w:rsidR="000176D9" w:rsidRPr="00FB1DA0">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而这轮行情后原本的库存得以大量消化。</w:t>
      </w:r>
    </w:p>
    <w:p w:rsidR="004F29A9" w:rsidRDefault="009870A4" w:rsidP="00E428FE">
      <w:pPr>
        <w:spacing w:line="360" w:lineRule="auto"/>
        <w:jc w:val="center"/>
        <w:rPr>
          <w:rFonts w:ascii="仿宋_GB2312" w:eastAsia="仿宋_GB2312" w:hAnsiTheme="minorEastAsia" w:cs="Arial"/>
          <w:b/>
          <w:color w:val="000000" w:themeColor="text1"/>
          <w:kern w:val="2"/>
          <w:sz w:val="21"/>
          <w:szCs w:val="22"/>
        </w:rPr>
      </w:pPr>
      <w:r w:rsidRPr="009870A4">
        <w:rPr>
          <w:rFonts w:ascii="仿宋_GB2312" w:eastAsia="仿宋_GB2312" w:hAnsiTheme="minorEastAsia"/>
          <w:noProof/>
          <w:color w:val="000000" w:themeColor="text1"/>
        </w:rPr>
        <w:drawing>
          <wp:inline distT="0" distB="0" distL="0" distR="0">
            <wp:extent cx="5000821" cy="2714625"/>
            <wp:effectExtent l="0" t="0" r="9525" b="0"/>
            <wp:docPr id="2" name="图片 2" descr="C:\Users\nijun\Documents\Tencent Files\511129715\Image\C2C\HM}[97M6TIEI6QOT{F__}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jun\Documents\Tencent Files\511129715\Image\C2C\HM}[97M6TIEI6QOT{F__}A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0821" cy="2714625"/>
                    </a:xfrm>
                    <a:prstGeom prst="rect">
                      <a:avLst/>
                    </a:prstGeom>
                    <a:noFill/>
                    <a:ln>
                      <a:noFill/>
                    </a:ln>
                  </pic:spPr>
                </pic:pic>
              </a:graphicData>
            </a:graphic>
          </wp:inline>
        </w:drawing>
      </w:r>
    </w:p>
    <w:p w:rsidR="000176D9" w:rsidRDefault="000176D9" w:rsidP="00E428FE">
      <w:pPr>
        <w:spacing w:line="360" w:lineRule="auto"/>
        <w:jc w:val="center"/>
        <w:rPr>
          <w:rFonts w:cs="Arial"/>
          <w:b/>
          <w:bCs/>
          <w:color w:val="000000" w:themeColor="text1"/>
          <w:sz w:val="21"/>
          <w:szCs w:val="21"/>
        </w:rPr>
      </w:pPr>
      <w:r w:rsidRPr="004F29A9">
        <w:rPr>
          <w:rFonts w:cs="Arial" w:hint="eastAsia"/>
          <w:b/>
          <w:color w:val="000000" w:themeColor="text1"/>
          <w:kern w:val="2"/>
          <w:sz w:val="21"/>
          <w:szCs w:val="22"/>
        </w:rPr>
        <w:t xml:space="preserve"> </w:t>
      </w:r>
      <w:r w:rsidR="004F29A9" w:rsidRPr="004F29A9">
        <w:rPr>
          <w:rFonts w:cs="Arial" w:hint="eastAsia"/>
          <w:b/>
          <w:bCs/>
          <w:color w:val="000000" w:themeColor="text1"/>
          <w:sz w:val="21"/>
          <w:szCs w:val="21"/>
        </w:rPr>
        <w:t>图1 2016年至今出台楼市调控政策城市分布热力图</w:t>
      </w:r>
    </w:p>
    <w:p w:rsidR="00E428FE" w:rsidRPr="00E428FE" w:rsidRDefault="00E428FE" w:rsidP="00E428FE">
      <w:pPr>
        <w:spacing w:line="360" w:lineRule="auto"/>
        <w:jc w:val="center"/>
        <w:rPr>
          <w:rFonts w:cs="Arial"/>
          <w:b/>
          <w:bCs/>
          <w:color w:val="000000" w:themeColor="text1"/>
          <w:sz w:val="16"/>
          <w:szCs w:val="21"/>
        </w:rPr>
      </w:pPr>
    </w:p>
    <w:p w:rsidR="00CC6594" w:rsidRPr="00FB1DA0" w:rsidRDefault="008F5662"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此后，各地纷纷出台限购限贷政策</w:t>
      </w:r>
      <w:r w:rsidR="00D65635" w:rsidRPr="00FB1DA0">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至2017年</w:t>
      </w:r>
      <w:r w:rsidR="000176D9" w:rsidRPr="00FB1DA0">
        <w:rPr>
          <w:rFonts w:ascii="仿宋_GB2312" w:eastAsia="仿宋_GB2312" w:hint="eastAsia"/>
          <w:color w:val="000000" w:themeColor="text1"/>
          <w:sz w:val="32"/>
          <w:szCs w:val="32"/>
        </w:rPr>
        <w:t>9</w:t>
      </w:r>
      <w:r w:rsidRPr="00FB1DA0">
        <w:rPr>
          <w:rFonts w:ascii="仿宋_GB2312" w:eastAsia="仿宋_GB2312" w:hint="eastAsia"/>
          <w:color w:val="000000" w:themeColor="text1"/>
          <w:sz w:val="32"/>
          <w:szCs w:val="32"/>
        </w:rPr>
        <w:t>月</w:t>
      </w:r>
      <w:r w:rsidR="000176D9" w:rsidRPr="00FB1DA0">
        <w:rPr>
          <w:rFonts w:ascii="仿宋_GB2312" w:eastAsia="仿宋_GB2312" w:hint="eastAsia"/>
          <w:color w:val="000000" w:themeColor="text1"/>
          <w:sz w:val="32"/>
          <w:szCs w:val="32"/>
        </w:rPr>
        <w:t>已有超过</w:t>
      </w:r>
      <w:r w:rsidRPr="00FB1DA0">
        <w:rPr>
          <w:rFonts w:ascii="仿宋_GB2312" w:eastAsia="仿宋_GB2312" w:hint="eastAsia"/>
          <w:color w:val="000000" w:themeColor="text1"/>
          <w:sz w:val="32"/>
          <w:szCs w:val="32"/>
        </w:rPr>
        <w:t>70</w:t>
      </w:r>
      <w:r w:rsidR="00D65635" w:rsidRPr="00FB1DA0">
        <w:rPr>
          <w:rFonts w:ascii="仿宋_GB2312" w:eastAsia="仿宋_GB2312" w:hint="eastAsia"/>
          <w:color w:val="000000" w:themeColor="text1"/>
          <w:sz w:val="32"/>
          <w:szCs w:val="32"/>
        </w:rPr>
        <w:t>个城市出台楼市调控政策：</w:t>
      </w:r>
      <w:r w:rsidR="00CC6594" w:rsidRPr="00FB1DA0">
        <w:rPr>
          <w:rFonts w:ascii="仿宋_GB2312" w:eastAsia="仿宋_GB2312" w:hint="eastAsia"/>
          <w:color w:val="000000" w:themeColor="text1"/>
          <w:sz w:val="32"/>
          <w:szCs w:val="32"/>
        </w:rPr>
        <w:t>在“因城施策”的背景下，一、二线城市纷纷出台提高首付比例、认房</w:t>
      </w:r>
      <w:proofErr w:type="gramStart"/>
      <w:r w:rsidR="00CC6594" w:rsidRPr="00FB1DA0">
        <w:rPr>
          <w:rFonts w:ascii="仿宋_GB2312" w:eastAsia="仿宋_GB2312" w:hint="eastAsia"/>
          <w:color w:val="000000" w:themeColor="text1"/>
          <w:sz w:val="32"/>
          <w:szCs w:val="32"/>
        </w:rPr>
        <w:t>又认贷等</w:t>
      </w:r>
      <w:proofErr w:type="gramEnd"/>
      <w:r w:rsidR="00CC6594" w:rsidRPr="00FB1DA0">
        <w:rPr>
          <w:rFonts w:ascii="仿宋_GB2312" w:eastAsia="仿宋_GB2312" w:hint="eastAsia"/>
          <w:color w:val="000000" w:themeColor="text1"/>
          <w:sz w:val="32"/>
          <w:szCs w:val="32"/>
        </w:rPr>
        <w:t>政策来提高改善及投资需求的门槛</w:t>
      </w:r>
      <w:r w:rsidR="00D65635" w:rsidRPr="00FB1DA0">
        <w:rPr>
          <w:rFonts w:ascii="仿宋_GB2312" w:eastAsia="仿宋_GB2312" w:hint="eastAsia"/>
          <w:color w:val="000000" w:themeColor="text1"/>
          <w:sz w:val="32"/>
          <w:szCs w:val="32"/>
        </w:rPr>
        <w:t>，</w:t>
      </w:r>
      <w:r w:rsidR="00AA0407" w:rsidRPr="00FB1DA0">
        <w:rPr>
          <w:rFonts w:ascii="仿宋_GB2312" w:eastAsia="仿宋_GB2312" w:hint="eastAsia"/>
          <w:color w:val="000000" w:themeColor="text1"/>
          <w:sz w:val="32"/>
          <w:szCs w:val="32"/>
        </w:rPr>
        <w:t>在不断升级的调控政策下，房价快速上涨的势头得以抑制</w:t>
      </w:r>
      <w:r w:rsidR="00CC6594" w:rsidRPr="00FB1DA0">
        <w:rPr>
          <w:rFonts w:ascii="仿宋_GB2312" w:eastAsia="仿宋_GB2312" w:hint="eastAsia"/>
          <w:color w:val="000000" w:themeColor="text1"/>
          <w:sz w:val="32"/>
          <w:szCs w:val="32"/>
        </w:rPr>
        <w:t>。而三四线城市除了传统的限购限贷政策之外</w:t>
      </w:r>
      <w:r w:rsidR="00AA0407" w:rsidRPr="00FB1DA0">
        <w:rPr>
          <w:rFonts w:ascii="仿宋_GB2312" w:eastAsia="仿宋_GB2312" w:hint="eastAsia"/>
          <w:color w:val="000000" w:themeColor="text1"/>
          <w:sz w:val="32"/>
          <w:szCs w:val="32"/>
        </w:rPr>
        <w:t>更</w:t>
      </w:r>
      <w:r w:rsidR="00D65635" w:rsidRPr="00FB1DA0">
        <w:rPr>
          <w:rFonts w:ascii="仿宋_GB2312" w:eastAsia="仿宋_GB2312" w:hint="eastAsia"/>
          <w:color w:val="000000" w:themeColor="text1"/>
          <w:sz w:val="32"/>
          <w:szCs w:val="32"/>
        </w:rPr>
        <w:t>针对性地附加了</w:t>
      </w:r>
      <w:r w:rsidR="00CC6594" w:rsidRPr="00FB1DA0">
        <w:rPr>
          <w:rFonts w:ascii="仿宋_GB2312" w:eastAsia="仿宋_GB2312" w:hint="eastAsia"/>
          <w:color w:val="000000" w:themeColor="text1"/>
          <w:sz w:val="32"/>
          <w:szCs w:val="32"/>
        </w:rPr>
        <w:t>限售政策</w:t>
      </w:r>
      <w:r w:rsidR="00D65635" w:rsidRPr="00FB1DA0">
        <w:rPr>
          <w:rFonts w:ascii="仿宋_GB2312" w:eastAsia="仿宋_GB2312" w:hint="eastAsia"/>
          <w:color w:val="000000" w:themeColor="text1"/>
          <w:sz w:val="32"/>
          <w:szCs w:val="32"/>
        </w:rPr>
        <w:t>，短</w:t>
      </w:r>
      <w:r w:rsidR="00CC6594" w:rsidRPr="00FB1DA0">
        <w:rPr>
          <w:rFonts w:ascii="仿宋_GB2312" w:eastAsia="仿宋_GB2312" w:hint="eastAsia"/>
          <w:color w:val="000000" w:themeColor="text1"/>
          <w:sz w:val="32"/>
          <w:szCs w:val="32"/>
        </w:rPr>
        <w:t>则2年，长则10年，</w:t>
      </w:r>
      <w:r w:rsidR="00AA0407" w:rsidRPr="00FB1DA0">
        <w:rPr>
          <w:rFonts w:ascii="仿宋_GB2312" w:eastAsia="仿宋_GB2312" w:hint="eastAsia"/>
          <w:color w:val="000000" w:themeColor="text1"/>
          <w:sz w:val="32"/>
          <w:szCs w:val="32"/>
        </w:rPr>
        <w:t>在前期的快速去化库存后直接锁死交易</w:t>
      </w:r>
      <w:r w:rsidR="00CC6594" w:rsidRPr="00FB1DA0">
        <w:rPr>
          <w:rFonts w:ascii="仿宋_GB2312" w:eastAsia="仿宋_GB2312" w:hint="eastAsia"/>
          <w:color w:val="000000" w:themeColor="text1"/>
          <w:sz w:val="32"/>
          <w:szCs w:val="32"/>
        </w:rPr>
        <w:t>流动性。</w:t>
      </w:r>
    </w:p>
    <w:p w:rsidR="008F5662" w:rsidRPr="00FB1DA0" w:rsidRDefault="00074136" w:rsidP="00CB6F39">
      <w:pPr>
        <w:pStyle w:val="a3"/>
        <w:spacing w:afterLines="50" w:after="156" w:line="360" w:lineRule="auto"/>
        <w:ind w:left="0" w:firstLineChars="200" w:firstLine="643"/>
        <w:rPr>
          <w:rFonts w:ascii="仿宋_GB2312" w:eastAsia="仿宋_GB2312" w:cs="Arial"/>
          <w:b/>
          <w:bCs/>
          <w:color w:val="000000" w:themeColor="text1"/>
          <w:sz w:val="32"/>
          <w:szCs w:val="32"/>
        </w:rPr>
      </w:pPr>
      <w:r>
        <w:rPr>
          <w:rFonts w:ascii="仿宋_GB2312" w:eastAsia="仿宋_GB2312" w:cs="Arial" w:hint="eastAsia"/>
          <w:b/>
          <w:bCs/>
          <w:color w:val="000000" w:themeColor="text1"/>
          <w:sz w:val="32"/>
          <w:szCs w:val="32"/>
        </w:rPr>
        <w:t>（二）</w:t>
      </w:r>
      <w:r w:rsidR="000176D9" w:rsidRPr="00FB1DA0">
        <w:rPr>
          <w:rFonts w:ascii="仿宋_GB2312" w:eastAsia="仿宋_GB2312" w:cs="Arial" w:hint="eastAsia"/>
          <w:b/>
          <w:bCs/>
          <w:color w:val="000000" w:themeColor="text1"/>
          <w:sz w:val="32"/>
          <w:szCs w:val="32"/>
        </w:rPr>
        <w:t>金融环境严峻，收紧信贷发放</w:t>
      </w:r>
    </w:p>
    <w:bookmarkEnd w:id="3"/>
    <w:bookmarkEnd w:id="4"/>
    <w:bookmarkEnd w:id="5"/>
    <w:p w:rsidR="009C69CF" w:rsidRPr="00FB1DA0" w:rsidRDefault="009C69CF"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lastRenderedPageBreak/>
        <w:t>不同于前些年量化宽松型</w:t>
      </w:r>
      <w:r w:rsidR="009870A4" w:rsidRPr="00FB1DA0">
        <w:rPr>
          <w:rFonts w:ascii="仿宋_GB2312" w:eastAsia="仿宋_GB2312" w:hint="eastAsia"/>
          <w:color w:val="000000" w:themeColor="text1"/>
          <w:sz w:val="32"/>
          <w:szCs w:val="32"/>
        </w:rPr>
        <w:t>的</w:t>
      </w:r>
      <w:r w:rsidRPr="00FB1DA0">
        <w:rPr>
          <w:rFonts w:ascii="仿宋_GB2312" w:eastAsia="仿宋_GB2312" w:hint="eastAsia"/>
          <w:color w:val="000000" w:themeColor="text1"/>
          <w:sz w:val="32"/>
          <w:szCs w:val="32"/>
        </w:rPr>
        <w:t>货币政策，进入2017年后，央行的货币政策维持着中性偏紧的态势。虽央行并未</w:t>
      </w:r>
      <w:r w:rsidR="00F31C42" w:rsidRPr="00FB1DA0">
        <w:rPr>
          <w:rFonts w:ascii="仿宋_GB2312" w:eastAsia="仿宋_GB2312" w:hint="eastAsia"/>
          <w:color w:val="000000" w:themeColor="text1"/>
          <w:sz w:val="32"/>
          <w:szCs w:val="32"/>
        </w:rPr>
        <w:t>实质</w:t>
      </w:r>
      <w:r w:rsidRPr="00FB1DA0">
        <w:rPr>
          <w:rFonts w:ascii="仿宋_GB2312" w:eastAsia="仿宋_GB2312" w:hint="eastAsia"/>
          <w:color w:val="000000" w:themeColor="text1"/>
          <w:sz w:val="32"/>
          <w:szCs w:val="32"/>
        </w:rPr>
        <w:t>加息，但工</w:t>
      </w:r>
      <w:r w:rsidR="009870A4" w:rsidRPr="00FB1DA0">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农</w:t>
      </w:r>
      <w:r w:rsidR="009870A4" w:rsidRPr="00FB1DA0">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中</w:t>
      </w:r>
      <w:r w:rsidR="009870A4" w:rsidRPr="00FB1DA0">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建四大行都将存款基准利率上调至1.75%，市场应急机制已经启动。根据美联储相关消息</w:t>
      </w:r>
      <w:r w:rsidR="009870A4" w:rsidRPr="00FB1DA0">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至2019</w:t>
      </w:r>
      <w:r w:rsidR="00E36AF4" w:rsidRPr="00FB1DA0">
        <w:rPr>
          <w:rFonts w:ascii="仿宋_GB2312" w:eastAsia="仿宋_GB2312" w:hint="eastAsia"/>
          <w:color w:val="000000" w:themeColor="text1"/>
          <w:sz w:val="32"/>
          <w:szCs w:val="32"/>
        </w:rPr>
        <w:t>年</w:t>
      </w:r>
      <w:r w:rsidRPr="00FB1DA0">
        <w:rPr>
          <w:rFonts w:ascii="仿宋_GB2312" w:eastAsia="仿宋_GB2312" w:hint="eastAsia"/>
          <w:color w:val="000000" w:themeColor="text1"/>
          <w:sz w:val="32"/>
          <w:szCs w:val="32"/>
        </w:rPr>
        <w:t>美联储将加息约7</w:t>
      </w:r>
      <w:r w:rsidR="000258B1" w:rsidRPr="00FB1DA0">
        <w:rPr>
          <w:rFonts w:ascii="仿宋_GB2312" w:eastAsia="仿宋_GB2312" w:hint="eastAsia"/>
          <w:color w:val="000000" w:themeColor="text1"/>
          <w:sz w:val="32"/>
          <w:szCs w:val="32"/>
        </w:rPr>
        <w:t>次，届时国内外的资产水位差势必造成资金外流，维持金融市场稳定已成为第一要务。</w:t>
      </w:r>
    </w:p>
    <w:p w:rsidR="009C69CF" w:rsidRPr="00FB1DA0" w:rsidRDefault="009C69CF"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2008</w:t>
      </w:r>
      <w:r w:rsidR="00E36AF4" w:rsidRPr="00FB1DA0">
        <w:rPr>
          <w:rFonts w:ascii="仿宋_GB2312" w:eastAsia="仿宋_GB2312" w:hint="eastAsia"/>
          <w:color w:val="000000" w:themeColor="text1"/>
          <w:sz w:val="32"/>
          <w:szCs w:val="32"/>
        </w:rPr>
        <w:t>年后国内</w:t>
      </w:r>
      <w:r w:rsidRPr="00FB1DA0">
        <w:rPr>
          <w:rFonts w:ascii="仿宋_GB2312" w:eastAsia="仿宋_GB2312" w:hint="eastAsia"/>
          <w:color w:val="000000" w:themeColor="text1"/>
          <w:sz w:val="32"/>
          <w:szCs w:val="32"/>
        </w:rPr>
        <w:t>房地产</w:t>
      </w:r>
      <w:r w:rsidR="00E36AF4" w:rsidRPr="00FB1DA0">
        <w:rPr>
          <w:rFonts w:ascii="仿宋_GB2312" w:eastAsia="仿宋_GB2312" w:hint="eastAsia"/>
          <w:color w:val="000000" w:themeColor="text1"/>
          <w:sz w:val="32"/>
          <w:szCs w:val="32"/>
        </w:rPr>
        <w:t>市场</w:t>
      </w:r>
      <w:r w:rsidRPr="00FB1DA0">
        <w:rPr>
          <w:rFonts w:ascii="仿宋_GB2312" w:eastAsia="仿宋_GB2312" w:hint="eastAsia"/>
          <w:color w:val="000000" w:themeColor="text1"/>
          <w:sz w:val="32"/>
          <w:szCs w:val="32"/>
        </w:rPr>
        <w:t>也有“脱实入虚”的倾向，房地产金融化趋势明显。面对过快上涨的房价，习总书记已是三令五申提出“房子是用来住的，不是用来炒的”，房地产业去杠杆，稳定房价，杜绝炒房现象，防范金融风险已是迫在眉睫。</w:t>
      </w:r>
    </w:p>
    <w:p w:rsidR="009C69CF" w:rsidRPr="00FB1DA0" w:rsidRDefault="00CC6594"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2017年4</w:t>
      </w:r>
      <w:r w:rsidR="007343A7" w:rsidRPr="00FB1DA0">
        <w:rPr>
          <w:rFonts w:ascii="仿宋_GB2312" w:eastAsia="仿宋_GB2312" w:hint="eastAsia"/>
          <w:color w:val="000000" w:themeColor="text1"/>
          <w:sz w:val="32"/>
          <w:szCs w:val="32"/>
        </w:rPr>
        <w:t>月以来上海、广州、重庆、厦门、南昌等地纷纷上调房贷利率，在全国35个城市中有超过20%的银行首套房贷利率上升，而二套的主流利率则为基准利率的1.1倍，并且部分银行已经开始停止房贷业务的受理。越来越多的城市即使不出台调控政策，只要房</w:t>
      </w:r>
      <w:proofErr w:type="gramStart"/>
      <w:r w:rsidR="007343A7" w:rsidRPr="00FB1DA0">
        <w:rPr>
          <w:rFonts w:ascii="仿宋_GB2312" w:eastAsia="仿宋_GB2312" w:hint="eastAsia"/>
          <w:color w:val="000000" w:themeColor="text1"/>
          <w:sz w:val="32"/>
          <w:szCs w:val="32"/>
        </w:rPr>
        <w:t>贷继续</w:t>
      </w:r>
      <w:proofErr w:type="gramEnd"/>
      <w:r w:rsidR="007343A7" w:rsidRPr="00FB1DA0">
        <w:rPr>
          <w:rFonts w:ascii="仿宋_GB2312" w:eastAsia="仿宋_GB2312" w:hint="eastAsia"/>
          <w:color w:val="000000" w:themeColor="text1"/>
          <w:sz w:val="32"/>
          <w:szCs w:val="32"/>
        </w:rPr>
        <w:t>收紧，那么市场交易量就无可避免地冰封，从而达到变相限售的效果。</w:t>
      </w:r>
    </w:p>
    <w:p w:rsidR="000176D9" w:rsidRPr="00FB1DA0" w:rsidRDefault="000176D9" w:rsidP="00E428FE">
      <w:pPr>
        <w:pStyle w:val="2"/>
        <w:spacing w:after="0" w:line="360" w:lineRule="auto"/>
        <w:ind w:firstLineChars="200" w:firstLine="723"/>
        <w:rPr>
          <w:rFonts w:ascii="仿宋_GB2312" w:eastAsia="仿宋_GB2312"/>
          <w:color w:val="000000" w:themeColor="text1"/>
          <w:sz w:val="32"/>
          <w:szCs w:val="32"/>
          <w:lang w:val="zh-CN"/>
        </w:rPr>
      </w:pPr>
      <w:r w:rsidRPr="00FB1DA0">
        <w:rPr>
          <w:rFonts w:ascii="仿宋_GB2312" w:eastAsia="仿宋_GB2312" w:hint="eastAsia"/>
          <w:color w:val="000000" w:themeColor="text1"/>
          <w:sz w:val="32"/>
          <w:szCs w:val="32"/>
          <w:lang w:val="zh-CN"/>
        </w:rPr>
        <w:t>二</w:t>
      </w:r>
      <w:r w:rsidR="004F29A9" w:rsidRPr="00FB1DA0">
        <w:rPr>
          <w:rFonts w:ascii="仿宋_GB2312" w:eastAsia="仿宋_GB2312" w:hint="eastAsia"/>
          <w:color w:val="000000" w:themeColor="text1"/>
          <w:sz w:val="32"/>
          <w:szCs w:val="32"/>
          <w:lang w:val="zh-CN"/>
        </w:rPr>
        <w:t>、</w:t>
      </w:r>
      <w:r w:rsidRPr="00FB1DA0">
        <w:rPr>
          <w:rFonts w:ascii="仿宋_GB2312" w:eastAsia="仿宋_GB2312" w:hint="eastAsia"/>
          <w:color w:val="000000" w:themeColor="text1"/>
          <w:sz w:val="32"/>
          <w:szCs w:val="32"/>
          <w:lang w:val="zh-CN"/>
        </w:rPr>
        <w:t>调控政策对近期房地产市场的影响</w:t>
      </w:r>
    </w:p>
    <w:p w:rsidR="00DA5D00" w:rsidRPr="00FB1DA0" w:rsidRDefault="00F73EE7"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从短期来看，目前的调控政策</w:t>
      </w:r>
      <w:r w:rsidR="009870A4" w:rsidRPr="00FB1DA0">
        <w:rPr>
          <w:rFonts w:ascii="仿宋_GB2312" w:eastAsia="仿宋_GB2312" w:hint="eastAsia"/>
          <w:color w:val="000000" w:themeColor="text1"/>
          <w:sz w:val="32"/>
          <w:szCs w:val="32"/>
        </w:rPr>
        <w:t>已</w:t>
      </w:r>
      <w:r w:rsidRPr="00FB1DA0">
        <w:rPr>
          <w:rFonts w:ascii="仿宋_GB2312" w:eastAsia="仿宋_GB2312" w:hint="eastAsia"/>
          <w:color w:val="000000" w:themeColor="text1"/>
          <w:sz w:val="32"/>
          <w:szCs w:val="32"/>
        </w:rPr>
        <w:t>颇有成效</w:t>
      </w:r>
      <w:bookmarkStart w:id="6" w:name="_Toc488936370"/>
      <w:bookmarkStart w:id="7" w:name="_Toc488942583"/>
      <w:bookmarkStart w:id="8" w:name="_Toc488942664"/>
      <w:r w:rsidR="000176D9" w:rsidRPr="00FB1DA0">
        <w:rPr>
          <w:rFonts w:ascii="仿宋_GB2312" w:eastAsia="仿宋_GB2312" w:hint="eastAsia"/>
          <w:color w:val="000000" w:themeColor="text1"/>
          <w:sz w:val="32"/>
          <w:szCs w:val="32"/>
        </w:rPr>
        <w:t>：</w:t>
      </w:r>
    </w:p>
    <w:p w:rsidR="00DA5D00" w:rsidRPr="00FB1DA0" w:rsidRDefault="00DA5D00"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以上海为例，2017年至今上海新建商品住宅及存量住宅成交量均出现大幅下跌，1、2月受春节假期影响下滑最甚，3月成交量回归年前低位，而之后各月存量住宅交易量继续</w:t>
      </w:r>
      <w:r w:rsidRPr="00FB1DA0">
        <w:rPr>
          <w:rFonts w:ascii="仿宋_GB2312" w:eastAsia="仿宋_GB2312" w:hint="eastAsia"/>
          <w:color w:val="000000" w:themeColor="text1"/>
          <w:sz w:val="32"/>
          <w:szCs w:val="32"/>
        </w:rPr>
        <w:lastRenderedPageBreak/>
        <w:t>一路下探，较去年3月的峰值跌去75%，市场交易进入冰封阶段。</w:t>
      </w:r>
    </w:p>
    <w:p w:rsidR="00DA5D00" w:rsidRPr="00FB1DA0" w:rsidRDefault="00DA5D00"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2016年底的新一波调控之后，全市房地产价格开始进入窄幅盘整的阶段，新建商品住宅均价为4.7-5万元/平方米；存量住宅则在3.8-3.9万/平方米间徘徊，六月之后略有掉头向下的趋势。</w:t>
      </w:r>
    </w:p>
    <w:p w:rsidR="00DA5D00" w:rsidRDefault="00DA5D00" w:rsidP="00E428FE">
      <w:pPr>
        <w:spacing w:line="360" w:lineRule="auto"/>
        <w:jc w:val="center"/>
        <w:rPr>
          <w:rFonts w:ascii="仿宋_GB2312" w:eastAsia="仿宋_GB2312"/>
        </w:rPr>
      </w:pPr>
      <w:r w:rsidRPr="00FE7624">
        <w:rPr>
          <w:rFonts w:ascii="仿宋_GB2312" w:eastAsia="仿宋_GB2312" w:hint="eastAsia"/>
          <w:noProof/>
        </w:rPr>
        <w:drawing>
          <wp:inline distT="0" distB="0" distL="0" distR="0">
            <wp:extent cx="5232400" cy="1990628"/>
            <wp:effectExtent l="0" t="0" r="635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54301" cy="1998960"/>
                    </a:xfrm>
                    <a:prstGeom prst="rect">
                      <a:avLst/>
                    </a:prstGeom>
                  </pic:spPr>
                </pic:pic>
              </a:graphicData>
            </a:graphic>
          </wp:inline>
        </w:drawing>
      </w:r>
    </w:p>
    <w:p w:rsidR="004F29A9" w:rsidRPr="004F29A9" w:rsidRDefault="004F29A9" w:rsidP="00E428FE">
      <w:pPr>
        <w:adjustRightInd w:val="0"/>
        <w:snapToGrid w:val="0"/>
        <w:spacing w:line="360" w:lineRule="auto"/>
        <w:jc w:val="center"/>
        <w:rPr>
          <w:color w:val="000000" w:themeColor="text1"/>
        </w:rPr>
      </w:pPr>
      <w:r w:rsidRPr="004F29A9">
        <w:rPr>
          <w:rFonts w:cs="Arial" w:hint="eastAsia"/>
          <w:b/>
          <w:bCs/>
          <w:color w:val="000000" w:themeColor="text1"/>
          <w:sz w:val="21"/>
          <w:szCs w:val="21"/>
        </w:rPr>
        <w:t>图</w:t>
      </w:r>
      <w:r w:rsidRPr="004F29A9">
        <w:rPr>
          <w:rFonts w:cs="Arial"/>
          <w:b/>
          <w:bCs/>
          <w:color w:val="000000" w:themeColor="text1"/>
          <w:sz w:val="21"/>
          <w:szCs w:val="21"/>
        </w:rPr>
        <w:t>2</w:t>
      </w:r>
      <w:r w:rsidRPr="004F29A9">
        <w:rPr>
          <w:rFonts w:cs="Arial" w:hint="eastAsia"/>
          <w:b/>
          <w:bCs/>
          <w:color w:val="000000" w:themeColor="text1"/>
          <w:sz w:val="21"/>
          <w:szCs w:val="21"/>
        </w:rPr>
        <w:t xml:space="preserve"> 2015年上海市住宅市场大事记示意图</w:t>
      </w:r>
    </w:p>
    <w:p w:rsidR="00DA5D00" w:rsidRDefault="00DA5D00" w:rsidP="00E428FE">
      <w:pPr>
        <w:spacing w:line="360" w:lineRule="auto"/>
        <w:jc w:val="center"/>
        <w:rPr>
          <w:rFonts w:ascii="仿宋_GB2312" w:eastAsia="仿宋_GB2312"/>
        </w:rPr>
      </w:pPr>
      <w:r>
        <w:rPr>
          <w:noProof/>
        </w:rPr>
        <w:drawing>
          <wp:inline distT="0" distB="0" distL="0" distR="0">
            <wp:extent cx="5274310" cy="2702169"/>
            <wp:effectExtent l="0" t="0" r="254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75999" cy="2703034"/>
                    </a:xfrm>
                    <a:prstGeom prst="rect">
                      <a:avLst/>
                    </a:prstGeom>
                  </pic:spPr>
                </pic:pic>
              </a:graphicData>
            </a:graphic>
          </wp:inline>
        </w:drawing>
      </w:r>
    </w:p>
    <w:p w:rsidR="004F29A9" w:rsidRDefault="004F29A9" w:rsidP="00E428FE">
      <w:pPr>
        <w:spacing w:line="360" w:lineRule="auto"/>
        <w:jc w:val="center"/>
      </w:pPr>
      <w:r w:rsidRPr="004F29A9">
        <w:rPr>
          <w:rFonts w:cs="Arial" w:hint="eastAsia"/>
          <w:b/>
          <w:bCs/>
          <w:color w:val="000000" w:themeColor="text1"/>
          <w:sz w:val="21"/>
          <w:szCs w:val="21"/>
        </w:rPr>
        <w:t>图</w:t>
      </w:r>
      <w:r w:rsidRPr="004F29A9">
        <w:rPr>
          <w:rFonts w:cs="Arial"/>
          <w:b/>
          <w:bCs/>
          <w:color w:val="000000" w:themeColor="text1"/>
          <w:sz w:val="21"/>
          <w:szCs w:val="21"/>
        </w:rPr>
        <w:t>3</w:t>
      </w:r>
      <w:r w:rsidRPr="004F29A9">
        <w:rPr>
          <w:rFonts w:cs="Arial" w:hint="eastAsia"/>
          <w:b/>
          <w:bCs/>
          <w:color w:val="000000" w:themeColor="text1"/>
          <w:sz w:val="21"/>
          <w:szCs w:val="21"/>
        </w:rPr>
        <w:t xml:space="preserve"> 201</w:t>
      </w:r>
      <w:r w:rsidRPr="004F29A9">
        <w:rPr>
          <w:rFonts w:cs="Arial"/>
          <w:b/>
          <w:bCs/>
          <w:color w:val="000000" w:themeColor="text1"/>
          <w:sz w:val="21"/>
          <w:szCs w:val="21"/>
        </w:rPr>
        <w:t>6</w:t>
      </w:r>
      <w:r w:rsidRPr="004F29A9">
        <w:rPr>
          <w:rFonts w:cs="Arial" w:hint="eastAsia"/>
          <w:b/>
          <w:bCs/>
          <w:color w:val="000000" w:themeColor="text1"/>
          <w:sz w:val="21"/>
          <w:szCs w:val="21"/>
        </w:rPr>
        <w:t>年至今上海市住宅市场成交走势图</w:t>
      </w:r>
    </w:p>
    <w:p w:rsidR="00D93CC5" w:rsidRPr="00E428FE" w:rsidRDefault="00D93CC5" w:rsidP="00E428FE">
      <w:pPr>
        <w:spacing w:after="40" w:line="360" w:lineRule="auto"/>
        <w:jc w:val="center"/>
        <w:rPr>
          <w:sz w:val="20"/>
        </w:rPr>
      </w:pPr>
    </w:p>
    <w:p w:rsidR="00DA5D00" w:rsidRPr="00FB1DA0" w:rsidRDefault="00DA5D00"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lastRenderedPageBreak/>
        <w:t>根据近期国家统计局发布的7月</w:t>
      </w:r>
      <w:bookmarkStart w:id="9" w:name="OLE_LINK1"/>
      <w:bookmarkStart w:id="10" w:name="OLE_LINK2"/>
      <w:r w:rsidRPr="00FB1DA0">
        <w:rPr>
          <w:rFonts w:ascii="仿宋_GB2312" w:eastAsia="仿宋_GB2312" w:hint="eastAsia"/>
          <w:color w:val="000000" w:themeColor="text1"/>
          <w:sz w:val="32"/>
          <w:szCs w:val="32"/>
        </w:rPr>
        <w:t>70城住宅价格指数</w:t>
      </w:r>
      <w:bookmarkEnd w:id="9"/>
      <w:bookmarkEnd w:id="10"/>
      <w:r w:rsidRPr="00FB1DA0">
        <w:rPr>
          <w:rFonts w:ascii="仿宋_GB2312" w:eastAsia="仿宋_GB2312" w:hint="eastAsia"/>
          <w:color w:val="000000" w:themeColor="text1"/>
          <w:sz w:val="32"/>
          <w:szCs w:val="32"/>
        </w:rPr>
        <w:t>，包括北京、上海、深圳在内的核心城市二手房价格持续下探，而石家庄、天津等城市也受北京示范效应的影响出现价格松动。</w:t>
      </w:r>
    </w:p>
    <w:p w:rsidR="00DA5D00" w:rsidRDefault="00DA5D00" w:rsidP="00CB6F39">
      <w:pPr>
        <w:spacing w:afterLines="50" w:after="156" w:line="360" w:lineRule="auto"/>
        <w:ind w:rightChars="-27" w:right="-65"/>
        <w:jc w:val="center"/>
        <w:rPr>
          <w:rFonts w:ascii="仿宋_GB2312" w:eastAsia="仿宋_GB2312" w:hAnsiTheme="minorEastAsia" w:cs="Arial"/>
          <w:bCs/>
          <w:color w:val="000000" w:themeColor="text1"/>
        </w:rPr>
      </w:pPr>
      <w:r w:rsidRPr="00FE7624">
        <w:rPr>
          <w:rFonts w:ascii="仿宋_GB2312" w:eastAsia="仿宋_GB2312" w:hAnsiTheme="minorEastAsia" w:hint="eastAsia"/>
          <w:noProof/>
        </w:rPr>
        <w:drawing>
          <wp:inline distT="0" distB="0" distL="0" distR="0">
            <wp:extent cx="4414139" cy="714521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2210" cy="7223028"/>
                    </a:xfrm>
                    <a:prstGeom prst="rect">
                      <a:avLst/>
                    </a:prstGeom>
                    <a:noFill/>
                    <a:ln>
                      <a:noFill/>
                    </a:ln>
                  </pic:spPr>
                </pic:pic>
              </a:graphicData>
            </a:graphic>
          </wp:inline>
        </w:drawing>
      </w:r>
    </w:p>
    <w:p w:rsidR="004F29A9" w:rsidRPr="004F29A9" w:rsidRDefault="004F29A9" w:rsidP="00E428FE">
      <w:pPr>
        <w:spacing w:line="360" w:lineRule="auto"/>
        <w:jc w:val="center"/>
        <w:rPr>
          <w:rFonts w:cs="Arial"/>
          <w:bCs/>
          <w:color w:val="000000" w:themeColor="text1"/>
          <w:sz w:val="21"/>
          <w:szCs w:val="21"/>
        </w:rPr>
      </w:pPr>
      <w:r w:rsidRPr="004F29A9">
        <w:rPr>
          <w:rFonts w:cs="Arial" w:hint="eastAsia"/>
          <w:b/>
          <w:bCs/>
          <w:color w:val="000000" w:themeColor="text1"/>
          <w:sz w:val="21"/>
          <w:szCs w:val="21"/>
        </w:rPr>
        <w:lastRenderedPageBreak/>
        <w:t>注：红色标示为全国有统计的涨幅居前城市；斜线部分为领跌居前城市。</w:t>
      </w:r>
    </w:p>
    <w:p w:rsidR="004F29A9" w:rsidRPr="004F29A9" w:rsidRDefault="004F29A9" w:rsidP="00E428FE">
      <w:pPr>
        <w:spacing w:line="360" w:lineRule="auto"/>
        <w:jc w:val="center"/>
        <w:rPr>
          <w:rFonts w:cs="Arial"/>
          <w:b/>
          <w:bCs/>
          <w:color w:val="000000" w:themeColor="text1"/>
          <w:sz w:val="21"/>
          <w:szCs w:val="21"/>
        </w:rPr>
      </w:pPr>
      <w:r w:rsidRPr="004F29A9">
        <w:rPr>
          <w:rFonts w:cs="Arial" w:hint="eastAsia"/>
          <w:b/>
          <w:bCs/>
          <w:color w:val="000000" w:themeColor="text1"/>
          <w:sz w:val="21"/>
          <w:szCs w:val="21"/>
        </w:rPr>
        <w:t>图</w:t>
      </w:r>
      <w:r w:rsidRPr="004F29A9">
        <w:rPr>
          <w:rFonts w:cs="Arial"/>
          <w:b/>
          <w:bCs/>
          <w:color w:val="000000" w:themeColor="text1"/>
          <w:sz w:val="21"/>
          <w:szCs w:val="21"/>
        </w:rPr>
        <w:t>4</w:t>
      </w:r>
      <w:r w:rsidRPr="004F29A9">
        <w:rPr>
          <w:rFonts w:cs="Arial" w:hint="eastAsia"/>
          <w:b/>
          <w:bCs/>
          <w:color w:val="000000" w:themeColor="text1"/>
          <w:sz w:val="21"/>
          <w:szCs w:val="21"/>
        </w:rPr>
        <w:t xml:space="preserve"> 2017年7月70个大中城市</w:t>
      </w:r>
      <w:proofErr w:type="gramStart"/>
      <w:r w:rsidRPr="004F29A9">
        <w:rPr>
          <w:rFonts w:cs="Arial" w:hint="eastAsia"/>
          <w:b/>
          <w:bCs/>
          <w:color w:val="000000" w:themeColor="text1"/>
          <w:sz w:val="21"/>
          <w:szCs w:val="21"/>
        </w:rPr>
        <w:t>二手住宅</w:t>
      </w:r>
      <w:proofErr w:type="gramEnd"/>
      <w:r w:rsidRPr="004F29A9">
        <w:rPr>
          <w:rFonts w:cs="Arial" w:hint="eastAsia"/>
          <w:b/>
          <w:bCs/>
          <w:color w:val="000000" w:themeColor="text1"/>
          <w:sz w:val="21"/>
          <w:szCs w:val="21"/>
        </w:rPr>
        <w:t>价格指数</w:t>
      </w:r>
    </w:p>
    <w:p w:rsidR="004F29A9" w:rsidRDefault="004F29A9" w:rsidP="00E428FE">
      <w:pPr>
        <w:adjustRightInd w:val="0"/>
        <w:snapToGrid w:val="0"/>
        <w:spacing w:line="360" w:lineRule="auto"/>
        <w:ind w:firstLineChars="200" w:firstLine="480"/>
        <w:jc w:val="both"/>
        <w:rPr>
          <w:rFonts w:ascii="仿宋_GB2312" w:eastAsia="仿宋_GB2312" w:hAnsiTheme="minorEastAsia"/>
          <w:color w:val="000000" w:themeColor="text1"/>
        </w:rPr>
      </w:pPr>
    </w:p>
    <w:p w:rsidR="000176D9" w:rsidRDefault="00DA5D00"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经历了“最严”调控政策之后，全国房地产市场呈现分化态势：</w:t>
      </w:r>
      <w:proofErr w:type="gramStart"/>
      <w:r w:rsidRPr="00FB1DA0">
        <w:rPr>
          <w:rFonts w:ascii="仿宋_GB2312" w:eastAsia="仿宋_GB2312" w:hint="eastAsia"/>
          <w:color w:val="000000" w:themeColor="text1"/>
          <w:sz w:val="32"/>
          <w:szCs w:val="32"/>
        </w:rPr>
        <w:t>一</w:t>
      </w:r>
      <w:proofErr w:type="gramEnd"/>
      <w:r w:rsidRPr="00FB1DA0">
        <w:rPr>
          <w:rFonts w:ascii="仿宋_GB2312" w:eastAsia="仿宋_GB2312" w:hint="eastAsia"/>
          <w:color w:val="000000" w:themeColor="text1"/>
          <w:sz w:val="32"/>
          <w:szCs w:val="32"/>
        </w:rPr>
        <w:t>二线城市交易量下滑，价格也逐步趋于理性；三四线城市则得益于货币化安置及限购城市的资金外溢而接棒上涨，进入快速去化库存的通道。</w:t>
      </w:r>
    </w:p>
    <w:p w:rsidR="00CB6F39" w:rsidRPr="00FB1DA0" w:rsidRDefault="00CB6F39" w:rsidP="00E428FE">
      <w:pPr>
        <w:adjustRightInd w:val="0"/>
        <w:snapToGrid w:val="0"/>
        <w:spacing w:line="360" w:lineRule="auto"/>
        <w:ind w:firstLineChars="200" w:firstLine="640"/>
        <w:jc w:val="both"/>
        <w:rPr>
          <w:rFonts w:ascii="仿宋_GB2312" w:eastAsia="仿宋_GB2312"/>
          <w:color w:val="000000" w:themeColor="text1"/>
          <w:sz w:val="32"/>
          <w:szCs w:val="32"/>
        </w:rPr>
      </w:pPr>
    </w:p>
    <w:p w:rsidR="00CB6F39" w:rsidRPr="00CB6F39" w:rsidRDefault="00CB6F39" w:rsidP="00CB6F39">
      <w:pPr>
        <w:adjustRightInd w:val="0"/>
        <w:snapToGrid w:val="0"/>
        <w:spacing w:line="360" w:lineRule="auto"/>
        <w:ind w:firstLineChars="236" w:firstLine="755"/>
        <w:jc w:val="both"/>
        <w:rPr>
          <w:rFonts w:ascii="仿宋_GB2312" w:eastAsia="仿宋_GB2312"/>
          <w:color w:val="000000" w:themeColor="text1"/>
          <w:sz w:val="32"/>
          <w:szCs w:val="32"/>
        </w:rPr>
      </w:pPr>
      <w:r w:rsidRPr="00CB6F39">
        <w:rPr>
          <w:rFonts w:ascii="仿宋_GB2312" w:eastAsia="仿宋_GB2312" w:hint="eastAsia"/>
          <w:color w:val="000000" w:themeColor="text1"/>
          <w:sz w:val="32"/>
          <w:szCs w:val="32"/>
        </w:rPr>
        <w:t>2</w:t>
      </w:r>
      <w:r w:rsidRPr="00CB6F39">
        <w:rPr>
          <w:rFonts w:ascii="仿宋_GB2312" w:eastAsia="仿宋_GB2312"/>
          <w:color w:val="000000" w:themeColor="text1"/>
          <w:sz w:val="32"/>
          <w:szCs w:val="32"/>
        </w:rPr>
        <w:t>017</w:t>
      </w:r>
      <w:r w:rsidRPr="00CB6F39">
        <w:rPr>
          <w:rFonts w:ascii="仿宋_GB2312" w:eastAsia="仿宋_GB2312" w:hint="eastAsia"/>
          <w:color w:val="000000" w:themeColor="text1"/>
          <w:sz w:val="32"/>
          <w:szCs w:val="32"/>
        </w:rPr>
        <w:t>年，习近平总书记在</w:t>
      </w:r>
      <w:r w:rsidRPr="00CB6F39">
        <w:rPr>
          <w:rFonts w:ascii="仿宋_GB2312" w:eastAsia="仿宋_GB2312"/>
          <w:color w:val="000000" w:themeColor="text1"/>
          <w:sz w:val="32"/>
          <w:szCs w:val="32"/>
        </w:rPr>
        <w:t>中央财经领导小组</w:t>
      </w:r>
      <w:r w:rsidRPr="00CB6F39">
        <w:rPr>
          <w:rFonts w:ascii="仿宋_GB2312" w:eastAsia="仿宋_GB2312" w:hint="eastAsia"/>
          <w:color w:val="000000" w:themeColor="text1"/>
          <w:sz w:val="32"/>
          <w:szCs w:val="32"/>
        </w:rPr>
        <w:t>会议中指出：“建立促进房地产市场平稳健康发展长效机制，要充分考虑到房地产市场特点，紧紧把握‘房子是用来住的、不是用来炒的’的定位，深入研究短期和长期相结合的长效机制和基础性制度安排。”</w:t>
      </w:r>
    </w:p>
    <w:p w:rsidR="000176D9" w:rsidRPr="00FB1DA0" w:rsidRDefault="00CB6F39" w:rsidP="00CB6F39">
      <w:pPr>
        <w:adjustRightInd w:val="0"/>
        <w:snapToGrid w:val="0"/>
        <w:spacing w:line="360" w:lineRule="auto"/>
        <w:ind w:firstLineChars="236" w:firstLine="755"/>
        <w:jc w:val="both"/>
        <w:rPr>
          <w:rFonts w:ascii="仿宋_GB2312" w:eastAsia="仿宋_GB2312"/>
          <w:color w:val="000000" w:themeColor="text1"/>
          <w:sz w:val="32"/>
          <w:szCs w:val="32"/>
        </w:rPr>
      </w:pPr>
      <w:r w:rsidRPr="00CB6F39">
        <w:rPr>
          <w:rFonts w:ascii="仿宋_GB2312" w:eastAsia="仿宋_GB2312" w:hint="eastAsia"/>
          <w:color w:val="000000" w:themeColor="text1"/>
          <w:sz w:val="32"/>
          <w:szCs w:val="32"/>
        </w:rPr>
        <w:t>从目前的房地产市场情况来看，近期多管齐下的调控政策“堵”住了需求端，基本奠定住宅</w:t>
      </w:r>
      <w:proofErr w:type="gramStart"/>
      <w:r w:rsidRPr="00CB6F39">
        <w:rPr>
          <w:rFonts w:ascii="仿宋_GB2312" w:eastAsia="仿宋_GB2312" w:hint="eastAsia"/>
          <w:color w:val="000000" w:themeColor="text1"/>
          <w:sz w:val="32"/>
          <w:szCs w:val="32"/>
        </w:rPr>
        <w:t>市场维稳的</w:t>
      </w:r>
      <w:proofErr w:type="gramEnd"/>
      <w:r w:rsidRPr="00CB6F39">
        <w:rPr>
          <w:rFonts w:ascii="仿宋_GB2312" w:eastAsia="仿宋_GB2312" w:hint="eastAsia"/>
          <w:color w:val="000000" w:themeColor="text1"/>
          <w:sz w:val="32"/>
          <w:szCs w:val="32"/>
        </w:rPr>
        <w:t>格局，但要长期维持房地产市场的健康稳定发展，仍需依靠市场规则来实现。故通过建立房地产长效机制来“疏”</w:t>
      </w:r>
      <w:proofErr w:type="gramStart"/>
      <w:r w:rsidRPr="00CB6F39">
        <w:rPr>
          <w:rFonts w:ascii="仿宋_GB2312" w:eastAsia="仿宋_GB2312" w:hint="eastAsia"/>
          <w:color w:val="000000" w:themeColor="text1"/>
          <w:sz w:val="32"/>
          <w:szCs w:val="32"/>
        </w:rPr>
        <w:t>通长期</w:t>
      </w:r>
      <w:proofErr w:type="gramEnd"/>
      <w:r w:rsidRPr="00CB6F39">
        <w:rPr>
          <w:rFonts w:ascii="仿宋_GB2312" w:eastAsia="仿宋_GB2312" w:hint="eastAsia"/>
          <w:color w:val="000000" w:themeColor="text1"/>
          <w:sz w:val="32"/>
          <w:szCs w:val="32"/>
        </w:rPr>
        <w:t>供需矛盾便势在必行。</w:t>
      </w:r>
    </w:p>
    <w:p w:rsidR="0010766D" w:rsidRPr="00FB1DA0" w:rsidRDefault="0010766D" w:rsidP="00E428FE">
      <w:pPr>
        <w:pStyle w:val="2"/>
        <w:spacing w:before="0" w:line="360" w:lineRule="auto"/>
        <w:ind w:firstLineChars="200" w:firstLine="723"/>
        <w:rPr>
          <w:rFonts w:ascii="仿宋_GB2312" w:eastAsia="仿宋_GB2312"/>
          <w:color w:val="000000" w:themeColor="text1"/>
          <w:sz w:val="32"/>
          <w:szCs w:val="32"/>
          <w:lang w:val="zh-CN"/>
        </w:rPr>
      </w:pPr>
      <w:r w:rsidRPr="00FB1DA0">
        <w:rPr>
          <w:rFonts w:ascii="仿宋_GB2312" w:eastAsia="仿宋_GB2312" w:hint="eastAsia"/>
          <w:color w:val="000000" w:themeColor="text1"/>
          <w:sz w:val="32"/>
          <w:szCs w:val="32"/>
          <w:lang w:val="zh-CN"/>
        </w:rPr>
        <w:t>三</w:t>
      </w:r>
      <w:r w:rsidR="004F29A9" w:rsidRPr="00FB1DA0">
        <w:rPr>
          <w:rFonts w:ascii="仿宋_GB2312" w:eastAsia="仿宋_GB2312" w:hint="eastAsia"/>
          <w:color w:val="000000" w:themeColor="text1"/>
          <w:sz w:val="32"/>
          <w:szCs w:val="32"/>
          <w:lang w:val="zh-CN"/>
        </w:rPr>
        <w:t>、</w:t>
      </w:r>
      <w:r w:rsidRPr="00FB1DA0">
        <w:rPr>
          <w:rFonts w:ascii="仿宋_GB2312" w:eastAsia="仿宋_GB2312" w:hint="eastAsia"/>
          <w:color w:val="000000" w:themeColor="text1"/>
          <w:sz w:val="32"/>
          <w:szCs w:val="32"/>
          <w:lang w:val="zh-CN"/>
        </w:rPr>
        <w:t>建立房地产长效机制对于市场的影响</w:t>
      </w:r>
    </w:p>
    <w:p w:rsidR="00CB6F39" w:rsidRPr="00CB6F39" w:rsidRDefault="00CB6F39" w:rsidP="00CB6F39">
      <w:pPr>
        <w:adjustRightInd w:val="0"/>
        <w:snapToGrid w:val="0"/>
        <w:spacing w:line="360" w:lineRule="auto"/>
        <w:ind w:firstLineChars="236" w:firstLine="755"/>
        <w:jc w:val="both"/>
        <w:rPr>
          <w:rFonts w:ascii="仿宋_GB2312" w:eastAsia="仿宋_GB2312"/>
          <w:color w:val="000000" w:themeColor="text1"/>
          <w:sz w:val="32"/>
          <w:szCs w:val="32"/>
        </w:rPr>
      </w:pPr>
      <w:bookmarkStart w:id="11" w:name="_Hlk488662733"/>
      <w:bookmarkStart w:id="12" w:name="_Toc488936372"/>
      <w:bookmarkStart w:id="13" w:name="_Toc488942588"/>
      <w:bookmarkStart w:id="14" w:name="_Toc488942669"/>
      <w:bookmarkEnd w:id="6"/>
      <w:bookmarkEnd w:id="7"/>
      <w:bookmarkEnd w:id="8"/>
      <w:r w:rsidRPr="00CB6F39">
        <w:rPr>
          <w:rFonts w:ascii="仿宋_GB2312" w:eastAsia="仿宋_GB2312" w:hint="eastAsia"/>
          <w:color w:val="000000" w:themeColor="text1"/>
          <w:sz w:val="32"/>
          <w:szCs w:val="32"/>
        </w:rPr>
        <w:t>原重庆市市长黄奇帆在《中国房地产存在的</w:t>
      </w:r>
      <w:r w:rsidRPr="00CB6F39">
        <w:rPr>
          <w:rFonts w:ascii="仿宋_GB2312" w:eastAsia="仿宋_GB2312"/>
          <w:color w:val="000000" w:themeColor="text1"/>
          <w:sz w:val="32"/>
          <w:szCs w:val="32"/>
        </w:rPr>
        <w:t>10大失衡</w:t>
      </w:r>
      <w:r w:rsidRPr="00CB6F39">
        <w:rPr>
          <w:rFonts w:ascii="仿宋_GB2312" w:eastAsia="仿宋_GB2312" w:hint="eastAsia"/>
          <w:color w:val="000000" w:themeColor="text1"/>
          <w:sz w:val="32"/>
          <w:szCs w:val="32"/>
        </w:rPr>
        <w:t>及建立长效机制的</w:t>
      </w:r>
      <w:r w:rsidRPr="00CB6F39">
        <w:rPr>
          <w:rFonts w:ascii="仿宋_GB2312" w:eastAsia="仿宋_GB2312"/>
          <w:color w:val="000000" w:themeColor="text1"/>
          <w:sz w:val="32"/>
          <w:szCs w:val="32"/>
        </w:rPr>
        <w:t>5个方面》</w:t>
      </w:r>
      <w:r w:rsidRPr="00CB6F39">
        <w:rPr>
          <w:rFonts w:ascii="仿宋_GB2312" w:eastAsia="仿宋_GB2312" w:hint="eastAsia"/>
          <w:color w:val="000000" w:themeColor="text1"/>
          <w:sz w:val="32"/>
          <w:szCs w:val="32"/>
        </w:rPr>
        <w:t>的专题演讲中提到，围绕总书记关于建立房地产长效机制的相关内容，可以从土地、金融、</w:t>
      </w:r>
      <w:r w:rsidRPr="00CB6F39">
        <w:rPr>
          <w:rFonts w:ascii="仿宋_GB2312" w:eastAsia="仿宋_GB2312" w:hint="eastAsia"/>
          <w:color w:val="000000" w:themeColor="text1"/>
          <w:sz w:val="32"/>
          <w:szCs w:val="32"/>
        </w:rPr>
        <w:lastRenderedPageBreak/>
        <w:t>财税、投资、法制等方面形成制度化的安排，系统地做好房地产的调控。</w:t>
      </w:r>
    </w:p>
    <w:p w:rsidR="00CB6F39" w:rsidRPr="00CB6F39" w:rsidRDefault="00CB6F39" w:rsidP="00CB6F39">
      <w:pPr>
        <w:pStyle w:val="3"/>
        <w:spacing w:before="0" w:line="360" w:lineRule="auto"/>
        <w:ind w:firstLineChars="200" w:firstLine="640"/>
        <w:rPr>
          <w:rFonts w:ascii="仿宋_GB2312" w:eastAsia="仿宋_GB2312"/>
          <w:b w:val="0"/>
          <w:spacing w:val="0"/>
          <w:sz w:val="32"/>
          <w:szCs w:val="32"/>
        </w:rPr>
      </w:pPr>
      <w:r w:rsidRPr="00CB6F39">
        <w:rPr>
          <w:rFonts w:ascii="仿宋_GB2312" w:eastAsia="仿宋_GB2312" w:hint="eastAsia"/>
          <w:b w:val="0"/>
          <w:spacing w:val="0"/>
          <w:sz w:val="32"/>
          <w:szCs w:val="32"/>
        </w:rPr>
        <w:t>目前，中央及各地政府已积极落实，从调整土地供应、</w:t>
      </w:r>
      <w:proofErr w:type="gramStart"/>
      <w:r w:rsidRPr="00CB6F39">
        <w:rPr>
          <w:rFonts w:ascii="仿宋_GB2312" w:eastAsia="仿宋_GB2312" w:hint="eastAsia"/>
          <w:b w:val="0"/>
          <w:spacing w:val="0"/>
          <w:sz w:val="32"/>
          <w:szCs w:val="32"/>
        </w:rPr>
        <w:t>改革土拍政策</w:t>
      </w:r>
      <w:proofErr w:type="gramEnd"/>
      <w:r w:rsidRPr="00CB6F39">
        <w:rPr>
          <w:rFonts w:ascii="仿宋_GB2312" w:eastAsia="仿宋_GB2312" w:hint="eastAsia"/>
          <w:b w:val="0"/>
          <w:spacing w:val="0"/>
          <w:sz w:val="32"/>
          <w:szCs w:val="32"/>
        </w:rPr>
        <w:t>、建立租购并举的房地产市场等方面逐步构建房地产市场长期调整机制。</w:t>
      </w:r>
    </w:p>
    <w:p w:rsidR="009C69CF" w:rsidRPr="00FB1DA0" w:rsidRDefault="00074136" w:rsidP="00E428FE">
      <w:pPr>
        <w:pStyle w:val="3"/>
        <w:spacing w:before="0" w:line="360" w:lineRule="auto"/>
        <w:ind w:firstLineChars="200" w:firstLine="683"/>
        <w:rPr>
          <w:rFonts w:ascii="仿宋_GB2312" w:eastAsia="仿宋_GB2312"/>
          <w:sz w:val="32"/>
          <w:szCs w:val="32"/>
          <w:bdr w:val="nil"/>
        </w:rPr>
      </w:pPr>
      <w:r>
        <w:rPr>
          <w:rFonts w:ascii="仿宋_GB2312" w:eastAsia="仿宋_GB2312" w:hint="eastAsia"/>
          <w:sz w:val="32"/>
          <w:szCs w:val="32"/>
          <w:bdr w:val="nil"/>
        </w:rPr>
        <w:t>（一）</w:t>
      </w:r>
      <w:r w:rsidR="004F29A9" w:rsidRPr="00FB1DA0">
        <w:rPr>
          <w:rFonts w:ascii="仿宋_GB2312" w:eastAsia="仿宋_GB2312" w:hint="eastAsia"/>
          <w:sz w:val="32"/>
          <w:szCs w:val="32"/>
          <w:bdr w:val="nil"/>
        </w:rPr>
        <w:t>根据库存调整土地供应</w:t>
      </w:r>
      <w:bookmarkEnd w:id="11"/>
      <w:bookmarkEnd w:id="12"/>
      <w:bookmarkEnd w:id="13"/>
      <w:bookmarkEnd w:id="14"/>
      <w:r w:rsidR="006F7759" w:rsidRPr="00FB1DA0">
        <w:rPr>
          <w:rFonts w:ascii="仿宋_GB2312" w:eastAsia="仿宋_GB2312" w:hint="eastAsia"/>
          <w:sz w:val="32"/>
          <w:szCs w:val="32"/>
          <w:bdr w:val="nil"/>
        </w:rPr>
        <w:t>，缓解市场供需矛盾</w:t>
      </w:r>
    </w:p>
    <w:p w:rsidR="0066242A" w:rsidRPr="00FB1DA0" w:rsidRDefault="007343A7"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2017年4月1日住建部联合国土资源部发布</w:t>
      </w:r>
      <w:bookmarkStart w:id="15" w:name="OLE_LINK9"/>
      <w:bookmarkStart w:id="16" w:name="OLE_LINK10"/>
      <w:r w:rsidRPr="00FB1DA0">
        <w:rPr>
          <w:rFonts w:ascii="仿宋_GB2312" w:eastAsia="仿宋_GB2312" w:hint="eastAsia"/>
          <w:color w:val="000000" w:themeColor="text1"/>
          <w:sz w:val="32"/>
          <w:szCs w:val="32"/>
        </w:rPr>
        <w:t>《关于加强近期住房及用地供应管理和调控有关工作的通知》</w:t>
      </w:r>
      <w:bookmarkEnd w:id="15"/>
      <w:bookmarkEnd w:id="16"/>
      <w:r w:rsidR="006F7759" w:rsidRPr="00FB1DA0">
        <w:rPr>
          <w:rFonts w:ascii="仿宋_GB2312" w:eastAsia="仿宋_GB2312" w:hint="eastAsia"/>
          <w:color w:val="000000" w:themeColor="text1"/>
          <w:sz w:val="32"/>
          <w:szCs w:val="32"/>
        </w:rPr>
        <w:t>，要求“合理安排住宅用地供应…住房供求矛盾突出、房价上涨压力大的城市要合理增加住宅用地特别是普通商品住房用地供应规模，去库存任务重的城市要减少以至暂停住宅用地供应。</w:t>
      </w:r>
      <w:r w:rsidR="006405F4" w:rsidRPr="00FB1DA0">
        <w:rPr>
          <w:rFonts w:ascii="仿宋_GB2312" w:eastAsia="仿宋_GB2312" w:hint="eastAsia"/>
          <w:color w:val="000000" w:themeColor="text1"/>
          <w:sz w:val="32"/>
          <w:szCs w:val="32"/>
        </w:rPr>
        <w:t>”</w:t>
      </w:r>
    </w:p>
    <w:p w:rsidR="007343A7" w:rsidRPr="00FB1DA0" w:rsidRDefault="0066242A"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一直以来，从供给端改变住宅市场供不应求的</w:t>
      </w:r>
      <w:r w:rsidR="006F7759" w:rsidRPr="00FB1DA0">
        <w:rPr>
          <w:rFonts w:ascii="仿宋_GB2312" w:eastAsia="仿宋_GB2312" w:hint="eastAsia"/>
          <w:color w:val="000000" w:themeColor="text1"/>
          <w:sz w:val="32"/>
          <w:szCs w:val="32"/>
        </w:rPr>
        <w:t>话题</w:t>
      </w:r>
      <w:r w:rsidRPr="00FB1DA0">
        <w:rPr>
          <w:rFonts w:ascii="仿宋_GB2312" w:eastAsia="仿宋_GB2312" w:hint="eastAsia"/>
          <w:color w:val="000000" w:themeColor="text1"/>
          <w:sz w:val="32"/>
          <w:szCs w:val="32"/>
        </w:rPr>
        <w:t>便络绎不绝，但</w:t>
      </w:r>
      <w:r w:rsidR="00F357DA" w:rsidRPr="00FB1DA0">
        <w:rPr>
          <w:rFonts w:ascii="仿宋_GB2312" w:eastAsia="仿宋_GB2312" w:hint="eastAsia"/>
          <w:color w:val="000000" w:themeColor="text1"/>
          <w:sz w:val="32"/>
          <w:szCs w:val="32"/>
        </w:rPr>
        <w:t>基</w:t>
      </w:r>
      <w:r w:rsidRPr="00FB1DA0">
        <w:rPr>
          <w:rFonts w:ascii="仿宋_GB2312" w:eastAsia="仿宋_GB2312" w:hint="eastAsia"/>
          <w:color w:val="000000" w:themeColor="text1"/>
          <w:sz w:val="32"/>
          <w:szCs w:val="32"/>
        </w:rPr>
        <w:t>于财政、税收</w:t>
      </w:r>
      <w:r w:rsidR="006F7759" w:rsidRPr="00FB1DA0">
        <w:rPr>
          <w:rFonts w:ascii="仿宋_GB2312" w:eastAsia="仿宋_GB2312" w:hint="eastAsia"/>
          <w:color w:val="000000" w:themeColor="text1"/>
          <w:sz w:val="32"/>
          <w:szCs w:val="32"/>
        </w:rPr>
        <w:t>及行政</w:t>
      </w:r>
      <w:r w:rsidRPr="00FB1DA0">
        <w:rPr>
          <w:rFonts w:ascii="仿宋_GB2312" w:eastAsia="仿宋_GB2312" w:hint="eastAsia"/>
          <w:color w:val="000000" w:themeColor="text1"/>
          <w:sz w:val="32"/>
          <w:szCs w:val="32"/>
        </w:rPr>
        <w:t>等因素，土地供求矛盾最突出的城市并未因此而实质性地增加</w:t>
      </w:r>
      <w:r w:rsidR="006405F4" w:rsidRPr="00FB1DA0">
        <w:rPr>
          <w:rFonts w:ascii="仿宋_GB2312" w:eastAsia="仿宋_GB2312" w:hint="eastAsia"/>
          <w:color w:val="000000" w:themeColor="text1"/>
          <w:sz w:val="32"/>
          <w:szCs w:val="32"/>
        </w:rPr>
        <w:t>供应</w:t>
      </w:r>
      <w:r w:rsidR="00D64630" w:rsidRPr="00FB1DA0">
        <w:rPr>
          <w:rFonts w:ascii="仿宋_GB2312" w:eastAsia="仿宋_GB2312" w:hint="eastAsia"/>
          <w:color w:val="000000" w:themeColor="text1"/>
          <w:sz w:val="32"/>
          <w:szCs w:val="32"/>
        </w:rPr>
        <w:t>，相反，人口净流出的</w:t>
      </w:r>
      <w:r w:rsidR="006405F4" w:rsidRPr="00FB1DA0">
        <w:rPr>
          <w:rFonts w:ascii="仿宋_GB2312" w:eastAsia="仿宋_GB2312" w:hint="eastAsia"/>
          <w:color w:val="000000" w:themeColor="text1"/>
          <w:sz w:val="32"/>
          <w:szCs w:val="32"/>
        </w:rPr>
        <w:t>地区供应量则不降反升。</w:t>
      </w:r>
      <w:r w:rsidRPr="00FB1DA0">
        <w:rPr>
          <w:rFonts w:ascii="仿宋_GB2312" w:eastAsia="仿宋_GB2312" w:hint="eastAsia"/>
          <w:color w:val="000000" w:themeColor="text1"/>
          <w:sz w:val="32"/>
          <w:szCs w:val="32"/>
        </w:rPr>
        <w:t>此次新政</w:t>
      </w:r>
      <w:r w:rsidR="00D64630" w:rsidRPr="00FB1DA0">
        <w:rPr>
          <w:rFonts w:ascii="仿宋_GB2312" w:eastAsia="仿宋_GB2312" w:hint="eastAsia"/>
          <w:color w:val="000000" w:themeColor="text1"/>
          <w:sz w:val="32"/>
          <w:szCs w:val="32"/>
        </w:rPr>
        <w:t>首次将土地供应与库存量而非申报指标挂钩，</w:t>
      </w:r>
      <w:r w:rsidRPr="00FB1DA0">
        <w:rPr>
          <w:rFonts w:ascii="仿宋_GB2312" w:eastAsia="仿宋_GB2312" w:hint="eastAsia"/>
          <w:color w:val="000000" w:themeColor="text1"/>
          <w:sz w:val="32"/>
          <w:szCs w:val="32"/>
        </w:rPr>
        <w:t>强调</w:t>
      </w:r>
      <w:r w:rsidR="007343A7" w:rsidRPr="00FB1DA0">
        <w:rPr>
          <w:rFonts w:ascii="仿宋_GB2312" w:eastAsia="仿宋_GB2312" w:hint="eastAsia"/>
          <w:color w:val="000000" w:themeColor="text1"/>
          <w:sz w:val="32"/>
          <w:szCs w:val="32"/>
        </w:rPr>
        <w:t>把土地释放到需求最强的地方</w:t>
      </w:r>
      <w:r w:rsidR="00D64630" w:rsidRPr="00FB1DA0">
        <w:rPr>
          <w:rFonts w:ascii="仿宋_GB2312" w:eastAsia="仿宋_GB2312" w:hint="eastAsia"/>
          <w:color w:val="000000" w:themeColor="text1"/>
          <w:sz w:val="32"/>
          <w:szCs w:val="32"/>
        </w:rPr>
        <w:t>，</w:t>
      </w:r>
      <w:r w:rsidR="007343A7" w:rsidRPr="00FB1DA0">
        <w:rPr>
          <w:rFonts w:ascii="仿宋_GB2312" w:eastAsia="仿宋_GB2312" w:hint="eastAsia"/>
          <w:color w:val="000000" w:themeColor="text1"/>
          <w:sz w:val="32"/>
          <w:szCs w:val="32"/>
        </w:rPr>
        <w:t>对症下药</w:t>
      </w:r>
      <w:r w:rsidR="006405F4" w:rsidRPr="00FB1DA0">
        <w:rPr>
          <w:rFonts w:ascii="仿宋_GB2312" w:eastAsia="仿宋_GB2312" w:hint="eastAsia"/>
          <w:color w:val="000000" w:themeColor="text1"/>
          <w:sz w:val="32"/>
          <w:szCs w:val="32"/>
        </w:rPr>
        <w:t>、</w:t>
      </w:r>
      <w:r w:rsidR="007343A7" w:rsidRPr="00FB1DA0">
        <w:rPr>
          <w:rFonts w:ascii="仿宋_GB2312" w:eastAsia="仿宋_GB2312" w:hint="eastAsia"/>
          <w:color w:val="000000" w:themeColor="text1"/>
          <w:sz w:val="32"/>
          <w:szCs w:val="32"/>
        </w:rPr>
        <w:t>有的放矢。</w:t>
      </w:r>
    </w:p>
    <w:p w:rsidR="007343A7" w:rsidRPr="00FB1DA0" w:rsidRDefault="00F74E9A"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对此</w:t>
      </w:r>
      <w:r w:rsidR="007343A7" w:rsidRPr="00FB1DA0">
        <w:rPr>
          <w:rFonts w:ascii="仿宋_GB2312" w:eastAsia="仿宋_GB2312" w:hint="eastAsia"/>
          <w:color w:val="000000" w:themeColor="text1"/>
          <w:sz w:val="32"/>
          <w:szCs w:val="32"/>
        </w:rPr>
        <w:t>上海</w:t>
      </w:r>
      <w:r w:rsidRPr="00FB1DA0">
        <w:rPr>
          <w:rFonts w:ascii="仿宋_GB2312" w:eastAsia="仿宋_GB2312" w:hint="eastAsia"/>
          <w:color w:val="000000" w:themeColor="text1"/>
          <w:sz w:val="32"/>
          <w:szCs w:val="32"/>
        </w:rPr>
        <w:t>已做出了</w:t>
      </w:r>
      <w:r w:rsidR="00107442" w:rsidRPr="00FB1DA0">
        <w:rPr>
          <w:rFonts w:ascii="仿宋_GB2312" w:eastAsia="仿宋_GB2312" w:hint="eastAsia"/>
          <w:color w:val="000000" w:themeColor="text1"/>
          <w:sz w:val="32"/>
          <w:szCs w:val="32"/>
        </w:rPr>
        <w:t>响应：在新一轮的《上海“十三五”住房规划》中</w:t>
      </w:r>
      <w:r w:rsidR="007343A7" w:rsidRPr="00FB1DA0">
        <w:rPr>
          <w:rFonts w:ascii="仿宋_GB2312" w:eastAsia="仿宋_GB2312" w:hint="eastAsia"/>
          <w:color w:val="000000" w:themeColor="text1"/>
          <w:sz w:val="32"/>
          <w:szCs w:val="32"/>
        </w:rPr>
        <w:t>明确提出</w:t>
      </w:r>
      <w:r w:rsidR="000258B1" w:rsidRPr="00FB1DA0">
        <w:rPr>
          <w:rFonts w:ascii="仿宋_GB2312" w:eastAsia="仿宋_GB2312" w:hint="eastAsia"/>
          <w:color w:val="000000" w:themeColor="text1"/>
          <w:sz w:val="32"/>
          <w:szCs w:val="32"/>
        </w:rPr>
        <w:t>了</w:t>
      </w:r>
      <w:r w:rsidR="007343A7" w:rsidRPr="00FB1DA0">
        <w:rPr>
          <w:rFonts w:ascii="仿宋_GB2312" w:eastAsia="仿宋_GB2312" w:hint="eastAsia"/>
          <w:color w:val="000000" w:themeColor="text1"/>
          <w:sz w:val="32"/>
          <w:szCs w:val="32"/>
        </w:rPr>
        <w:t>“十三五”期间土地供应量将达到5500公顷，比</w:t>
      </w:r>
      <w:proofErr w:type="gramStart"/>
      <w:r w:rsidR="007343A7" w:rsidRPr="00FB1DA0">
        <w:rPr>
          <w:rFonts w:ascii="仿宋_GB2312" w:eastAsia="仿宋_GB2312" w:hint="eastAsia"/>
          <w:color w:val="000000" w:themeColor="text1"/>
          <w:sz w:val="32"/>
          <w:szCs w:val="32"/>
        </w:rPr>
        <w:t>十二五</w:t>
      </w:r>
      <w:proofErr w:type="gramEnd"/>
      <w:r w:rsidR="007343A7" w:rsidRPr="00FB1DA0">
        <w:rPr>
          <w:rFonts w:ascii="仿宋_GB2312" w:eastAsia="仿宋_GB2312" w:hint="eastAsia"/>
          <w:color w:val="000000" w:themeColor="text1"/>
          <w:sz w:val="32"/>
          <w:szCs w:val="32"/>
        </w:rPr>
        <w:t>上涨20%。新增住房</w:t>
      </w:r>
      <w:proofErr w:type="gramStart"/>
      <w:r w:rsidR="007343A7" w:rsidRPr="00FB1DA0">
        <w:rPr>
          <w:rFonts w:ascii="仿宋_GB2312" w:eastAsia="仿宋_GB2312" w:hint="eastAsia"/>
          <w:color w:val="000000" w:themeColor="text1"/>
          <w:sz w:val="32"/>
          <w:szCs w:val="32"/>
        </w:rPr>
        <w:t>供应总</w:t>
      </w:r>
      <w:proofErr w:type="gramEnd"/>
      <w:r w:rsidR="007343A7" w:rsidRPr="00FB1DA0">
        <w:rPr>
          <w:rFonts w:ascii="仿宋_GB2312" w:eastAsia="仿宋_GB2312" w:hint="eastAsia"/>
          <w:color w:val="000000" w:themeColor="text1"/>
          <w:sz w:val="32"/>
          <w:szCs w:val="32"/>
        </w:rPr>
        <w:t>套数比“十二五”增加60%左右，达到170万套。</w:t>
      </w:r>
    </w:p>
    <w:p w:rsidR="009561B9" w:rsidRPr="00FB1DA0" w:rsidRDefault="005A6867"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lastRenderedPageBreak/>
        <w:t>从</w:t>
      </w:r>
      <w:r w:rsidR="00D64630" w:rsidRPr="00FB1DA0">
        <w:rPr>
          <w:rFonts w:ascii="仿宋_GB2312" w:eastAsia="仿宋_GB2312" w:hint="eastAsia"/>
          <w:color w:val="000000" w:themeColor="text1"/>
          <w:sz w:val="32"/>
          <w:szCs w:val="32"/>
        </w:rPr>
        <w:t>目前的</w:t>
      </w:r>
      <w:r w:rsidR="00F357DA" w:rsidRPr="00FB1DA0">
        <w:rPr>
          <w:rFonts w:ascii="仿宋_GB2312" w:eastAsia="仿宋_GB2312" w:hint="eastAsia"/>
          <w:color w:val="000000" w:themeColor="text1"/>
          <w:sz w:val="32"/>
          <w:szCs w:val="32"/>
        </w:rPr>
        <w:t>实际</w:t>
      </w:r>
      <w:r w:rsidRPr="00FB1DA0">
        <w:rPr>
          <w:rFonts w:ascii="仿宋_GB2312" w:eastAsia="仿宋_GB2312" w:hint="eastAsia"/>
          <w:color w:val="000000" w:themeColor="text1"/>
          <w:sz w:val="32"/>
          <w:szCs w:val="32"/>
        </w:rPr>
        <w:t>情况来看，进入2017年5</w:t>
      </w:r>
      <w:r w:rsidR="006405F4" w:rsidRPr="00FB1DA0">
        <w:rPr>
          <w:rFonts w:ascii="仿宋_GB2312" w:eastAsia="仿宋_GB2312" w:hint="eastAsia"/>
          <w:color w:val="000000" w:themeColor="text1"/>
          <w:sz w:val="32"/>
          <w:szCs w:val="32"/>
        </w:rPr>
        <w:t>月以后</w:t>
      </w:r>
      <w:r w:rsidRPr="00FB1DA0">
        <w:rPr>
          <w:rFonts w:ascii="仿宋_GB2312" w:eastAsia="仿宋_GB2312" w:hint="eastAsia"/>
          <w:color w:val="000000" w:themeColor="text1"/>
          <w:sz w:val="32"/>
          <w:szCs w:val="32"/>
        </w:rPr>
        <w:t>上海居住用地（</w:t>
      </w:r>
      <w:proofErr w:type="gramStart"/>
      <w:r w:rsidRPr="00FB1DA0">
        <w:rPr>
          <w:rFonts w:ascii="仿宋_GB2312" w:eastAsia="仿宋_GB2312" w:hint="eastAsia"/>
          <w:color w:val="000000" w:themeColor="text1"/>
          <w:sz w:val="32"/>
          <w:szCs w:val="32"/>
        </w:rPr>
        <w:t>含保障房</w:t>
      </w:r>
      <w:proofErr w:type="gramEnd"/>
      <w:r w:rsidRPr="00FB1DA0">
        <w:rPr>
          <w:rFonts w:ascii="仿宋_GB2312" w:eastAsia="仿宋_GB2312" w:hint="eastAsia"/>
          <w:color w:val="000000" w:themeColor="text1"/>
          <w:sz w:val="32"/>
          <w:szCs w:val="32"/>
        </w:rPr>
        <w:t>用地）供应量较去年同期处于明显高位，二季度供应量更达到了一季度的三倍。同时值得注意的是，2017年土地供应在维持了原本大量的保障房用地外，</w:t>
      </w:r>
      <w:proofErr w:type="gramStart"/>
      <w:r w:rsidRPr="00FB1DA0">
        <w:rPr>
          <w:rFonts w:ascii="仿宋_GB2312" w:eastAsia="仿宋_GB2312" w:hint="eastAsia"/>
          <w:color w:val="000000" w:themeColor="text1"/>
          <w:sz w:val="32"/>
          <w:szCs w:val="32"/>
        </w:rPr>
        <w:t>采用招挂复核</w:t>
      </w:r>
      <w:proofErr w:type="gramEnd"/>
      <w:r w:rsidRPr="00FB1DA0">
        <w:rPr>
          <w:rFonts w:ascii="仿宋_GB2312" w:eastAsia="仿宋_GB2312" w:hint="eastAsia"/>
          <w:color w:val="000000" w:themeColor="text1"/>
          <w:sz w:val="32"/>
          <w:szCs w:val="32"/>
        </w:rPr>
        <w:t>方式出让居住用地占比大幅提升，租赁住房用地也</w:t>
      </w:r>
      <w:r w:rsidR="009561B9" w:rsidRPr="00FB1DA0">
        <w:rPr>
          <w:rFonts w:ascii="仿宋_GB2312" w:eastAsia="仿宋_GB2312" w:hint="eastAsia"/>
          <w:color w:val="000000" w:themeColor="text1"/>
          <w:sz w:val="32"/>
          <w:szCs w:val="32"/>
        </w:rPr>
        <w:t>首次登上历史舞台，逐步落实十三五增加土地供应量的规划。</w:t>
      </w:r>
    </w:p>
    <w:p w:rsidR="009C69CF" w:rsidRDefault="005A6867" w:rsidP="00E428FE">
      <w:pPr>
        <w:pStyle w:val="a3"/>
        <w:spacing w:line="360" w:lineRule="auto"/>
        <w:ind w:left="0"/>
        <w:jc w:val="center"/>
        <w:rPr>
          <w:rFonts w:ascii="仿宋_GB2312" w:eastAsia="仿宋_GB2312" w:hAnsiTheme="minorEastAsia" w:cs="Arial"/>
          <w:b/>
          <w:color w:val="000000" w:themeColor="text1"/>
        </w:rPr>
      </w:pPr>
      <w:r w:rsidRPr="00FE7624">
        <w:rPr>
          <w:rFonts w:ascii="仿宋_GB2312" w:eastAsia="仿宋_GB2312" w:hAnsiTheme="minorEastAsia" w:hint="eastAsia"/>
          <w:noProof/>
        </w:rPr>
        <w:drawing>
          <wp:inline distT="0" distB="0" distL="0" distR="0">
            <wp:extent cx="4453890" cy="2080846"/>
            <wp:effectExtent l="0" t="0" r="3810" b="0"/>
            <wp:docPr id="5" name="图表 5">
              <a:extLst xmlns:a="http://schemas.openxmlformats.org/drawingml/2006/main">
                <a:ext uri="{FF2B5EF4-FFF2-40B4-BE49-F238E27FC236}">
                  <a16:creationId xmlns:a16="http://schemas.microsoft.com/office/drawing/2014/main" id="{BEEC0A2E-F89E-4BA0-AC0E-8763DC73E6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29A9" w:rsidRDefault="004F29A9" w:rsidP="00E428FE">
      <w:pPr>
        <w:spacing w:line="360" w:lineRule="auto"/>
        <w:jc w:val="center"/>
        <w:rPr>
          <w:rFonts w:cs="Arial"/>
          <w:b/>
          <w:bCs/>
          <w:color w:val="000000" w:themeColor="text1"/>
          <w:sz w:val="21"/>
          <w:szCs w:val="21"/>
        </w:rPr>
      </w:pPr>
      <w:r w:rsidRPr="004F29A9">
        <w:rPr>
          <w:rFonts w:cs="Arial" w:hint="eastAsia"/>
          <w:b/>
          <w:bCs/>
          <w:color w:val="000000" w:themeColor="text1"/>
          <w:sz w:val="21"/>
          <w:szCs w:val="21"/>
        </w:rPr>
        <w:t>图</w:t>
      </w:r>
      <w:r w:rsidRPr="004F29A9">
        <w:rPr>
          <w:rFonts w:cs="Arial"/>
          <w:b/>
          <w:bCs/>
          <w:color w:val="000000" w:themeColor="text1"/>
          <w:sz w:val="21"/>
          <w:szCs w:val="21"/>
        </w:rPr>
        <w:t>5</w:t>
      </w:r>
      <w:r w:rsidRPr="004F29A9">
        <w:rPr>
          <w:rFonts w:cs="Arial" w:hint="eastAsia"/>
          <w:b/>
          <w:bCs/>
          <w:color w:val="000000" w:themeColor="text1"/>
          <w:sz w:val="21"/>
          <w:szCs w:val="21"/>
        </w:rPr>
        <w:t xml:space="preserve"> 2016年1月至今上海各月土地供应量走势图(</w:t>
      </w:r>
      <w:proofErr w:type="gramStart"/>
      <w:r w:rsidRPr="004F29A9">
        <w:rPr>
          <w:rFonts w:cs="Arial" w:hint="eastAsia"/>
          <w:b/>
          <w:bCs/>
          <w:color w:val="000000" w:themeColor="text1"/>
          <w:sz w:val="21"/>
          <w:szCs w:val="21"/>
        </w:rPr>
        <w:t>含保障房</w:t>
      </w:r>
      <w:proofErr w:type="gramEnd"/>
      <w:r w:rsidRPr="004F29A9">
        <w:rPr>
          <w:rFonts w:cs="Arial" w:hint="eastAsia"/>
          <w:b/>
          <w:bCs/>
          <w:color w:val="000000" w:themeColor="text1"/>
          <w:sz w:val="21"/>
          <w:szCs w:val="21"/>
        </w:rPr>
        <w:t>用地）</w:t>
      </w:r>
    </w:p>
    <w:p w:rsidR="00D93CC5" w:rsidRPr="00D93CC5" w:rsidRDefault="00D93CC5" w:rsidP="00E428FE">
      <w:pPr>
        <w:spacing w:line="360" w:lineRule="auto"/>
        <w:jc w:val="center"/>
        <w:rPr>
          <w:rFonts w:cs="Arial"/>
          <w:b/>
          <w:bCs/>
          <w:color w:val="000000" w:themeColor="text1"/>
          <w:sz w:val="21"/>
          <w:szCs w:val="21"/>
        </w:rPr>
      </w:pPr>
    </w:p>
    <w:p w:rsidR="007343A7" w:rsidRPr="00FB1DA0" w:rsidRDefault="009561B9"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无独有偶，</w:t>
      </w:r>
      <w:r w:rsidR="007343A7" w:rsidRPr="00FB1DA0">
        <w:rPr>
          <w:rFonts w:ascii="仿宋_GB2312" w:eastAsia="仿宋_GB2312" w:hint="eastAsia"/>
          <w:color w:val="000000" w:themeColor="text1"/>
          <w:sz w:val="32"/>
          <w:szCs w:val="32"/>
        </w:rPr>
        <w:t>同处调控一线的北京</w:t>
      </w:r>
      <w:r w:rsidRPr="00FB1DA0">
        <w:rPr>
          <w:rFonts w:ascii="仿宋_GB2312" w:eastAsia="仿宋_GB2312" w:hint="eastAsia"/>
          <w:color w:val="000000" w:themeColor="text1"/>
          <w:sz w:val="32"/>
          <w:szCs w:val="32"/>
        </w:rPr>
        <w:t>也</w:t>
      </w:r>
      <w:r w:rsidR="007343A7" w:rsidRPr="00FB1DA0">
        <w:rPr>
          <w:rFonts w:ascii="仿宋_GB2312" w:eastAsia="仿宋_GB2312" w:hint="eastAsia"/>
          <w:color w:val="000000" w:themeColor="text1"/>
          <w:sz w:val="32"/>
          <w:szCs w:val="32"/>
        </w:rPr>
        <w:t>已在加大土地供应上走在前列:</w:t>
      </w:r>
      <w:r w:rsidRPr="00FB1DA0">
        <w:rPr>
          <w:rFonts w:ascii="仿宋_GB2312" w:eastAsia="仿宋_GB2312" w:hint="eastAsia"/>
          <w:color w:val="000000" w:themeColor="text1"/>
          <w:sz w:val="32"/>
          <w:szCs w:val="32"/>
        </w:rPr>
        <w:t>2017年上半年</w:t>
      </w:r>
      <w:r w:rsidR="00D64630" w:rsidRPr="00FB1DA0">
        <w:rPr>
          <w:rFonts w:ascii="仿宋_GB2312" w:eastAsia="仿宋_GB2312" w:hint="eastAsia"/>
          <w:color w:val="000000" w:themeColor="text1"/>
          <w:sz w:val="32"/>
          <w:szCs w:val="32"/>
        </w:rPr>
        <w:t>北京</w:t>
      </w:r>
      <w:r w:rsidR="007343A7" w:rsidRPr="00FB1DA0">
        <w:rPr>
          <w:rFonts w:ascii="仿宋_GB2312" w:eastAsia="仿宋_GB2312" w:hint="eastAsia"/>
          <w:color w:val="000000" w:themeColor="text1"/>
          <w:sz w:val="32"/>
          <w:szCs w:val="32"/>
        </w:rPr>
        <w:t>合计</w:t>
      </w:r>
      <w:r w:rsidR="00D64630" w:rsidRPr="00FB1DA0">
        <w:rPr>
          <w:rFonts w:ascii="仿宋_GB2312" w:eastAsia="仿宋_GB2312" w:hint="eastAsia"/>
          <w:color w:val="000000" w:themeColor="text1"/>
          <w:sz w:val="32"/>
          <w:szCs w:val="32"/>
        </w:rPr>
        <w:t>供应</w:t>
      </w:r>
      <w:r w:rsidR="007343A7" w:rsidRPr="00FB1DA0">
        <w:rPr>
          <w:rFonts w:ascii="仿宋_GB2312" w:eastAsia="仿宋_GB2312" w:hint="eastAsia"/>
          <w:color w:val="000000" w:themeColor="text1"/>
          <w:sz w:val="32"/>
          <w:szCs w:val="32"/>
        </w:rPr>
        <w:t>居住类用地230万平方米，是2016年供应量的三倍。与此同时还公示了161个拿地未开工项目以及228个开工未入市项目，房源预计20万套左右。在去年十一之后，北京的楼市调控并未加码而是从多供地、督促新房入市等方式扩大供应从而改变市场预期。</w:t>
      </w:r>
    </w:p>
    <w:p w:rsidR="00A155F6" w:rsidRPr="00FB1DA0" w:rsidRDefault="00074136" w:rsidP="00E428FE">
      <w:pPr>
        <w:pStyle w:val="3"/>
        <w:spacing w:before="0" w:line="360" w:lineRule="auto"/>
        <w:ind w:firstLineChars="200" w:firstLine="683"/>
        <w:jc w:val="both"/>
        <w:rPr>
          <w:rFonts w:ascii="仿宋_GB2312" w:eastAsia="仿宋_GB2312"/>
          <w:sz w:val="32"/>
          <w:szCs w:val="32"/>
          <w:bdr w:val="nil"/>
        </w:rPr>
      </w:pPr>
      <w:r>
        <w:rPr>
          <w:rFonts w:ascii="仿宋_GB2312" w:eastAsia="仿宋_GB2312" w:hint="eastAsia"/>
          <w:sz w:val="32"/>
          <w:szCs w:val="32"/>
          <w:bdr w:val="nil"/>
        </w:rPr>
        <w:t>（二）</w:t>
      </w:r>
      <w:proofErr w:type="gramStart"/>
      <w:r w:rsidR="009561B9" w:rsidRPr="00FB1DA0">
        <w:rPr>
          <w:rFonts w:ascii="仿宋_GB2312" w:eastAsia="仿宋_GB2312" w:hint="eastAsia"/>
          <w:sz w:val="32"/>
          <w:szCs w:val="32"/>
          <w:bdr w:val="nil"/>
        </w:rPr>
        <w:t>土拍政策</w:t>
      </w:r>
      <w:proofErr w:type="gramEnd"/>
      <w:r w:rsidR="009561B9" w:rsidRPr="00FB1DA0">
        <w:rPr>
          <w:rFonts w:ascii="仿宋_GB2312" w:eastAsia="仿宋_GB2312" w:hint="eastAsia"/>
          <w:sz w:val="32"/>
          <w:szCs w:val="32"/>
          <w:bdr w:val="nil"/>
        </w:rPr>
        <w:t>改革多管齐下</w:t>
      </w:r>
      <w:r w:rsidR="006F7759" w:rsidRPr="00FB1DA0">
        <w:rPr>
          <w:rFonts w:ascii="仿宋_GB2312" w:eastAsia="仿宋_GB2312" w:hint="eastAsia"/>
          <w:sz w:val="32"/>
          <w:szCs w:val="32"/>
          <w:bdr w:val="nil"/>
        </w:rPr>
        <w:t>，引导市场合理预期</w:t>
      </w:r>
    </w:p>
    <w:p w:rsidR="00D64630" w:rsidRPr="00FB1DA0" w:rsidRDefault="00D72307"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lastRenderedPageBreak/>
        <w:t>一直以来</w:t>
      </w:r>
      <w:r w:rsidR="00D64630" w:rsidRPr="00FB1DA0">
        <w:rPr>
          <w:rFonts w:ascii="仿宋_GB2312" w:eastAsia="仿宋_GB2312" w:hint="eastAsia"/>
          <w:color w:val="000000" w:themeColor="text1"/>
          <w:sz w:val="32"/>
          <w:szCs w:val="32"/>
        </w:rPr>
        <w:t>各界对于因为</w:t>
      </w:r>
      <w:r w:rsidRPr="00FB1DA0">
        <w:rPr>
          <w:rFonts w:ascii="仿宋_GB2312" w:eastAsia="仿宋_GB2312" w:hint="eastAsia"/>
          <w:color w:val="000000" w:themeColor="text1"/>
          <w:sz w:val="32"/>
          <w:szCs w:val="32"/>
        </w:rPr>
        <w:t>地价</w:t>
      </w:r>
      <w:r w:rsidR="00D64630" w:rsidRPr="00FB1DA0">
        <w:rPr>
          <w:rFonts w:ascii="仿宋_GB2312" w:eastAsia="仿宋_GB2312" w:hint="eastAsia"/>
          <w:color w:val="000000" w:themeColor="text1"/>
          <w:sz w:val="32"/>
          <w:szCs w:val="32"/>
        </w:rPr>
        <w:t>高而推动</w:t>
      </w:r>
      <w:r w:rsidRPr="00FB1DA0">
        <w:rPr>
          <w:rFonts w:ascii="仿宋_GB2312" w:eastAsia="仿宋_GB2312" w:hint="eastAsia"/>
          <w:color w:val="000000" w:themeColor="text1"/>
          <w:sz w:val="32"/>
          <w:szCs w:val="32"/>
        </w:rPr>
        <w:t>房价</w:t>
      </w:r>
      <w:r w:rsidR="00D64630" w:rsidRPr="00FB1DA0">
        <w:rPr>
          <w:rFonts w:ascii="仿宋_GB2312" w:eastAsia="仿宋_GB2312" w:hint="eastAsia"/>
          <w:color w:val="000000" w:themeColor="text1"/>
          <w:sz w:val="32"/>
          <w:szCs w:val="32"/>
        </w:rPr>
        <w:t>上涨的</w:t>
      </w:r>
      <w:proofErr w:type="gramStart"/>
      <w:r w:rsidR="00D64630" w:rsidRPr="00FB1DA0">
        <w:rPr>
          <w:rFonts w:ascii="仿宋_GB2312" w:eastAsia="仿宋_GB2312" w:hint="eastAsia"/>
          <w:color w:val="000000" w:themeColor="text1"/>
          <w:sz w:val="32"/>
          <w:szCs w:val="32"/>
        </w:rPr>
        <w:t>质疑声</w:t>
      </w:r>
      <w:proofErr w:type="gramEnd"/>
      <w:r w:rsidR="00D64630" w:rsidRPr="00FB1DA0">
        <w:rPr>
          <w:rFonts w:ascii="仿宋_GB2312" w:eastAsia="仿宋_GB2312" w:hint="eastAsia"/>
          <w:color w:val="000000" w:themeColor="text1"/>
          <w:sz w:val="32"/>
          <w:szCs w:val="32"/>
        </w:rPr>
        <w:t>不绝于耳，2016年各地的地王现象更是巩固了人们对于房价快速上涨的预期。</w:t>
      </w:r>
    </w:p>
    <w:p w:rsidR="00D72307" w:rsidRPr="00FB1DA0" w:rsidRDefault="00D64630"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对此，</w:t>
      </w:r>
      <w:r w:rsidR="00D72307" w:rsidRPr="00FB1DA0">
        <w:rPr>
          <w:rFonts w:ascii="仿宋_GB2312" w:eastAsia="仿宋_GB2312" w:hint="eastAsia"/>
          <w:color w:val="000000" w:themeColor="text1"/>
          <w:sz w:val="32"/>
          <w:szCs w:val="32"/>
        </w:rPr>
        <w:t>2017年4月</w:t>
      </w:r>
      <w:r w:rsidRPr="00FB1DA0">
        <w:rPr>
          <w:rFonts w:ascii="仿宋_GB2312" w:eastAsia="仿宋_GB2312" w:hint="eastAsia"/>
          <w:color w:val="000000" w:themeColor="text1"/>
          <w:sz w:val="32"/>
          <w:szCs w:val="32"/>
        </w:rPr>
        <w:t>建设部联合国土资源部发布</w:t>
      </w:r>
      <w:r w:rsidR="00D72307" w:rsidRPr="00FB1DA0">
        <w:rPr>
          <w:rFonts w:ascii="仿宋_GB2312" w:eastAsia="仿宋_GB2312" w:hint="eastAsia"/>
          <w:color w:val="000000" w:themeColor="text1"/>
          <w:sz w:val="32"/>
          <w:szCs w:val="32"/>
        </w:rPr>
        <w:t>《关于加强近期住房及用地供应管理和调控有关工作的通知》</w:t>
      </w:r>
      <w:r w:rsidRPr="00FB1DA0">
        <w:rPr>
          <w:rFonts w:ascii="仿宋_GB2312" w:eastAsia="仿宋_GB2312" w:hint="eastAsia"/>
          <w:color w:val="000000" w:themeColor="text1"/>
          <w:sz w:val="32"/>
          <w:szCs w:val="32"/>
        </w:rPr>
        <w:t>，明确各地</w:t>
      </w:r>
      <w:r w:rsidR="00D72307" w:rsidRPr="00FB1DA0">
        <w:rPr>
          <w:rFonts w:ascii="仿宋_GB2312" w:eastAsia="仿宋_GB2312" w:hint="eastAsia"/>
          <w:color w:val="000000" w:themeColor="text1"/>
          <w:sz w:val="32"/>
          <w:szCs w:val="32"/>
        </w:rPr>
        <w:t>建立购地资金审查制度，确保房地产开发企业使用合</w:t>
      </w:r>
      <w:proofErr w:type="gramStart"/>
      <w:r w:rsidR="00D72307" w:rsidRPr="00FB1DA0">
        <w:rPr>
          <w:rFonts w:ascii="仿宋_GB2312" w:eastAsia="仿宋_GB2312" w:hint="eastAsia"/>
          <w:color w:val="000000" w:themeColor="text1"/>
          <w:sz w:val="32"/>
          <w:szCs w:val="32"/>
        </w:rPr>
        <w:t>规</w:t>
      </w:r>
      <w:proofErr w:type="gramEnd"/>
      <w:r w:rsidR="00D72307" w:rsidRPr="00FB1DA0">
        <w:rPr>
          <w:rFonts w:ascii="仿宋_GB2312" w:eastAsia="仿宋_GB2312" w:hint="eastAsia"/>
          <w:color w:val="000000" w:themeColor="text1"/>
          <w:sz w:val="32"/>
          <w:szCs w:val="32"/>
        </w:rPr>
        <w:t>自有资金购地。</w:t>
      </w:r>
    </w:p>
    <w:p w:rsidR="00D72307" w:rsidRPr="00FB1DA0" w:rsidRDefault="00D72307"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早在</w:t>
      </w:r>
      <w:r w:rsidR="0055778A" w:rsidRPr="00FB1DA0">
        <w:rPr>
          <w:rFonts w:ascii="仿宋_GB2312" w:eastAsia="仿宋_GB2312" w:hint="eastAsia"/>
          <w:color w:val="000000" w:themeColor="text1"/>
          <w:sz w:val="32"/>
          <w:szCs w:val="32"/>
        </w:rPr>
        <w:t>2016年10月上海实施</w:t>
      </w:r>
      <w:r w:rsidRPr="00FB1DA0">
        <w:rPr>
          <w:rFonts w:ascii="仿宋_GB2312" w:eastAsia="仿宋_GB2312" w:hint="eastAsia"/>
          <w:color w:val="000000" w:themeColor="text1"/>
          <w:sz w:val="32"/>
          <w:szCs w:val="32"/>
        </w:rPr>
        <w:t>的</w:t>
      </w:r>
      <w:r w:rsidR="0055778A" w:rsidRPr="00FB1DA0">
        <w:rPr>
          <w:rFonts w:ascii="仿宋_GB2312" w:eastAsia="仿宋_GB2312" w:hint="eastAsia"/>
          <w:color w:val="000000" w:themeColor="text1"/>
          <w:sz w:val="32"/>
          <w:szCs w:val="32"/>
        </w:rPr>
        <w:t>“沪六条”</w:t>
      </w:r>
      <w:r w:rsidRPr="00FB1DA0">
        <w:rPr>
          <w:rFonts w:ascii="仿宋_GB2312" w:eastAsia="仿宋_GB2312" w:hint="eastAsia"/>
          <w:color w:val="000000" w:themeColor="text1"/>
          <w:sz w:val="32"/>
          <w:szCs w:val="32"/>
        </w:rPr>
        <w:t>中便提出</w:t>
      </w:r>
      <w:r w:rsidR="0055778A" w:rsidRPr="00FB1DA0">
        <w:rPr>
          <w:rFonts w:ascii="仿宋_GB2312" w:eastAsia="仿宋_GB2312" w:hint="eastAsia"/>
          <w:color w:val="000000" w:themeColor="text1"/>
          <w:sz w:val="32"/>
          <w:szCs w:val="32"/>
        </w:rPr>
        <w:t>“进一步加强商品住房用地交易资金来源监管</w:t>
      </w:r>
      <w:r w:rsidRPr="00FB1DA0">
        <w:rPr>
          <w:rFonts w:ascii="仿宋_GB2312" w:eastAsia="仿宋_GB2312" w:hint="eastAsia"/>
          <w:color w:val="000000" w:themeColor="text1"/>
          <w:sz w:val="32"/>
          <w:szCs w:val="32"/>
        </w:rPr>
        <w:t>，</w:t>
      </w:r>
      <w:r w:rsidR="0055778A" w:rsidRPr="00FB1DA0">
        <w:rPr>
          <w:rFonts w:ascii="仿宋_GB2312" w:eastAsia="仿宋_GB2312" w:hint="eastAsia"/>
          <w:color w:val="000000" w:themeColor="text1"/>
          <w:sz w:val="32"/>
          <w:szCs w:val="32"/>
        </w:rPr>
        <w:t>按照</w:t>
      </w:r>
      <w:r w:rsidRPr="00FB1DA0">
        <w:rPr>
          <w:rFonts w:ascii="仿宋_GB2312" w:eastAsia="仿宋_GB2312" w:hint="eastAsia"/>
          <w:color w:val="000000" w:themeColor="text1"/>
          <w:sz w:val="32"/>
          <w:szCs w:val="32"/>
        </w:rPr>
        <w:t>‘</w:t>
      </w:r>
      <w:r w:rsidR="0055778A" w:rsidRPr="00FB1DA0">
        <w:rPr>
          <w:rFonts w:ascii="仿宋_GB2312" w:eastAsia="仿宋_GB2312" w:hint="eastAsia"/>
          <w:color w:val="000000" w:themeColor="text1"/>
          <w:sz w:val="32"/>
          <w:szCs w:val="32"/>
        </w:rPr>
        <w:t>穿透</w:t>
      </w:r>
      <w:r w:rsidRPr="00FB1DA0">
        <w:rPr>
          <w:rFonts w:ascii="仿宋_GB2312" w:eastAsia="仿宋_GB2312" w:hint="eastAsia"/>
          <w:color w:val="000000" w:themeColor="text1"/>
          <w:sz w:val="32"/>
          <w:szCs w:val="32"/>
        </w:rPr>
        <w:t>’</w:t>
      </w:r>
      <w:r w:rsidR="0055778A" w:rsidRPr="00FB1DA0">
        <w:rPr>
          <w:rFonts w:ascii="仿宋_GB2312" w:eastAsia="仿宋_GB2312" w:hint="eastAsia"/>
          <w:color w:val="000000" w:themeColor="text1"/>
          <w:sz w:val="32"/>
          <w:szCs w:val="32"/>
        </w:rPr>
        <w:t>原则对竞买申请人本人的</w:t>
      </w:r>
      <w:r w:rsidR="00D64630" w:rsidRPr="00FB1DA0">
        <w:rPr>
          <w:rFonts w:ascii="仿宋_GB2312" w:eastAsia="仿宋_GB2312" w:hint="eastAsia"/>
          <w:color w:val="000000" w:themeColor="text1"/>
          <w:sz w:val="32"/>
          <w:szCs w:val="32"/>
        </w:rPr>
        <w:t>资金</w:t>
      </w:r>
      <w:r w:rsidR="0055778A" w:rsidRPr="00FB1DA0">
        <w:rPr>
          <w:rFonts w:ascii="仿宋_GB2312" w:eastAsia="仿宋_GB2312" w:hint="eastAsia"/>
          <w:color w:val="000000" w:themeColor="text1"/>
          <w:sz w:val="32"/>
          <w:szCs w:val="32"/>
        </w:rPr>
        <w:t>来源情况实施审核，且根据关联关系逐级追溯提供资金的最终管理方，对最终关联方的资金来源及资金自最终关联方流转至竞买申请人的路径实施审核。</w:t>
      </w:r>
    </w:p>
    <w:p w:rsidR="00D36EE7" w:rsidRPr="00FB1DA0" w:rsidRDefault="0055778A"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从市场反应来看，该政策实施之后上海</w:t>
      </w:r>
      <w:r w:rsidR="00023564" w:rsidRPr="00FB1DA0">
        <w:rPr>
          <w:rFonts w:ascii="仿宋_GB2312" w:eastAsia="仿宋_GB2312" w:hint="eastAsia"/>
          <w:color w:val="000000" w:themeColor="text1"/>
          <w:sz w:val="32"/>
          <w:szCs w:val="32"/>
        </w:rPr>
        <w:t>经营性居住用地</w:t>
      </w:r>
      <w:r w:rsidRPr="00FB1DA0">
        <w:rPr>
          <w:rFonts w:ascii="仿宋_GB2312" w:eastAsia="仿宋_GB2312" w:hint="eastAsia"/>
          <w:color w:val="000000" w:themeColor="text1"/>
          <w:sz w:val="32"/>
          <w:szCs w:val="32"/>
        </w:rPr>
        <w:t>市场无论是在参拍人数还是溢价率上都有了立竿见影的效果，但独木难支，单一政策效果并不能力挽狂澜</w:t>
      </w:r>
      <w:r w:rsidR="00B208FD" w:rsidRPr="00FB1DA0">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2017年3月，中海在小昆山上演</w:t>
      </w:r>
      <w:r w:rsidR="00D72307" w:rsidRPr="00FB1DA0">
        <w:rPr>
          <w:rFonts w:ascii="仿宋_GB2312" w:eastAsia="仿宋_GB2312" w:hint="eastAsia"/>
          <w:color w:val="000000" w:themeColor="text1"/>
          <w:sz w:val="32"/>
          <w:szCs w:val="32"/>
        </w:rPr>
        <w:t>地王</w:t>
      </w:r>
      <w:r w:rsidRPr="00FB1DA0">
        <w:rPr>
          <w:rFonts w:ascii="仿宋_GB2312" w:eastAsia="仿宋_GB2312" w:hint="eastAsia"/>
          <w:color w:val="000000" w:themeColor="text1"/>
          <w:sz w:val="32"/>
          <w:szCs w:val="32"/>
        </w:rPr>
        <w:t>帽子戏法，打破了自有资金审查所带来的平静</w:t>
      </w:r>
      <w:r w:rsidR="00D72307" w:rsidRPr="00FB1DA0">
        <w:rPr>
          <w:rFonts w:ascii="仿宋_GB2312" w:eastAsia="仿宋_GB2312" w:hint="eastAsia"/>
          <w:color w:val="000000" w:themeColor="text1"/>
          <w:sz w:val="32"/>
          <w:szCs w:val="32"/>
        </w:rPr>
        <w:t>，</w:t>
      </w:r>
      <w:r w:rsidRPr="00FB1DA0">
        <w:rPr>
          <w:rFonts w:ascii="仿宋_GB2312" w:eastAsia="仿宋_GB2312" w:hint="eastAsia"/>
          <w:color w:val="000000" w:themeColor="text1"/>
          <w:sz w:val="32"/>
          <w:szCs w:val="32"/>
        </w:rPr>
        <w:t>市场预期再次逆转。单纯控制资金来源但未本质上改变价高者得的游戏规则，</w:t>
      </w:r>
      <w:r w:rsidR="00D36EE7" w:rsidRPr="00FB1DA0">
        <w:rPr>
          <w:rFonts w:ascii="仿宋_GB2312" w:eastAsia="仿宋_GB2312" w:hint="eastAsia"/>
          <w:color w:val="000000" w:themeColor="text1"/>
          <w:sz w:val="32"/>
          <w:szCs w:val="32"/>
        </w:rPr>
        <w:t>在土地供应极度匮乏的情况下一线城市的</w:t>
      </w:r>
      <w:r w:rsidRPr="00FB1DA0">
        <w:rPr>
          <w:rFonts w:ascii="仿宋_GB2312" w:eastAsia="仿宋_GB2312" w:hint="eastAsia"/>
          <w:color w:val="000000" w:themeColor="text1"/>
          <w:sz w:val="32"/>
          <w:szCs w:val="32"/>
        </w:rPr>
        <w:t>“</w:t>
      </w:r>
      <w:r w:rsidR="00D36EE7" w:rsidRPr="00FB1DA0">
        <w:rPr>
          <w:rFonts w:ascii="仿宋_GB2312" w:eastAsia="仿宋_GB2312" w:hint="eastAsia"/>
          <w:color w:val="000000" w:themeColor="text1"/>
          <w:sz w:val="32"/>
          <w:szCs w:val="32"/>
        </w:rPr>
        <w:t>地王</w:t>
      </w:r>
      <w:r w:rsidRPr="00FB1DA0">
        <w:rPr>
          <w:rFonts w:ascii="仿宋_GB2312" w:eastAsia="仿宋_GB2312" w:hint="eastAsia"/>
          <w:color w:val="000000" w:themeColor="text1"/>
          <w:sz w:val="32"/>
          <w:szCs w:val="32"/>
        </w:rPr>
        <w:t>”</w:t>
      </w:r>
      <w:r w:rsidR="00D36EE7" w:rsidRPr="00FB1DA0">
        <w:rPr>
          <w:rFonts w:ascii="仿宋_GB2312" w:eastAsia="仿宋_GB2312" w:hint="eastAsia"/>
          <w:color w:val="000000" w:themeColor="text1"/>
          <w:sz w:val="32"/>
          <w:szCs w:val="32"/>
        </w:rPr>
        <w:t>难以仅凭一条资金监管就踩住刹车</w:t>
      </w:r>
      <w:r w:rsidR="00C67364" w:rsidRPr="00FB1DA0">
        <w:rPr>
          <w:rFonts w:ascii="仿宋_GB2312" w:eastAsia="仿宋_GB2312" w:hint="eastAsia"/>
          <w:color w:val="000000" w:themeColor="text1"/>
          <w:sz w:val="32"/>
          <w:szCs w:val="32"/>
        </w:rPr>
        <w:t>。</w:t>
      </w:r>
    </w:p>
    <w:p w:rsidR="00C67364" w:rsidRPr="00FB1DA0" w:rsidRDefault="00D72307"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在此之后，上海便将原本运用在商服用地上</w:t>
      </w:r>
      <w:proofErr w:type="gramStart"/>
      <w:r w:rsidRPr="00FB1DA0">
        <w:rPr>
          <w:rFonts w:ascii="仿宋_GB2312" w:eastAsia="仿宋_GB2312" w:hint="eastAsia"/>
          <w:color w:val="000000" w:themeColor="text1"/>
          <w:sz w:val="32"/>
          <w:szCs w:val="32"/>
        </w:rPr>
        <w:t>的招挂复核</w:t>
      </w:r>
      <w:proofErr w:type="gramEnd"/>
      <w:r w:rsidRPr="00FB1DA0">
        <w:rPr>
          <w:rFonts w:ascii="仿宋_GB2312" w:eastAsia="仿宋_GB2312" w:hint="eastAsia"/>
          <w:color w:val="000000" w:themeColor="text1"/>
          <w:sz w:val="32"/>
          <w:szCs w:val="32"/>
        </w:rPr>
        <w:t>模式嫁接到了</w:t>
      </w:r>
      <w:r w:rsidR="00023564" w:rsidRPr="00FB1DA0">
        <w:rPr>
          <w:rFonts w:ascii="仿宋_GB2312" w:eastAsia="仿宋_GB2312" w:hint="eastAsia"/>
          <w:color w:val="000000" w:themeColor="text1"/>
          <w:sz w:val="32"/>
          <w:szCs w:val="32"/>
        </w:rPr>
        <w:t>经营性居住用地</w:t>
      </w:r>
      <w:r w:rsidRPr="00FB1DA0">
        <w:rPr>
          <w:rFonts w:ascii="仿宋_GB2312" w:eastAsia="仿宋_GB2312" w:hint="eastAsia"/>
          <w:color w:val="000000" w:themeColor="text1"/>
          <w:sz w:val="32"/>
          <w:szCs w:val="32"/>
        </w:rPr>
        <w:t>上。虽然房地产业内对于该政</w:t>
      </w:r>
      <w:r w:rsidRPr="00FB1DA0">
        <w:rPr>
          <w:rFonts w:ascii="仿宋_GB2312" w:eastAsia="仿宋_GB2312" w:hint="eastAsia"/>
          <w:color w:val="000000" w:themeColor="text1"/>
          <w:sz w:val="32"/>
          <w:szCs w:val="32"/>
        </w:rPr>
        <w:lastRenderedPageBreak/>
        <w:t>策是否有</w:t>
      </w:r>
      <w:r w:rsidR="00C67364" w:rsidRPr="00FB1DA0">
        <w:rPr>
          <w:rFonts w:ascii="仿宋_GB2312" w:eastAsia="仿宋_GB2312" w:hint="eastAsia"/>
          <w:color w:val="000000" w:themeColor="text1"/>
          <w:sz w:val="32"/>
          <w:szCs w:val="32"/>
        </w:rPr>
        <w:t>偏向</w:t>
      </w:r>
      <w:proofErr w:type="gramStart"/>
      <w:r w:rsidR="00C67364" w:rsidRPr="00FB1DA0">
        <w:rPr>
          <w:rFonts w:ascii="仿宋_GB2312" w:eastAsia="仿宋_GB2312" w:hint="eastAsia"/>
          <w:color w:val="000000" w:themeColor="text1"/>
          <w:sz w:val="32"/>
          <w:szCs w:val="32"/>
        </w:rPr>
        <w:t>于央企</w:t>
      </w:r>
      <w:proofErr w:type="gramEnd"/>
      <w:r w:rsidR="00C67364" w:rsidRPr="00FB1DA0">
        <w:rPr>
          <w:rFonts w:ascii="仿宋_GB2312" w:eastAsia="仿宋_GB2312" w:hint="eastAsia"/>
          <w:color w:val="000000" w:themeColor="text1"/>
          <w:sz w:val="32"/>
          <w:szCs w:val="32"/>
        </w:rPr>
        <w:t>、名企开发商</w:t>
      </w:r>
      <w:r w:rsidRPr="00FB1DA0">
        <w:rPr>
          <w:rFonts w:ascii="仿宋_GB2312" w:eastAsia="仿宋_GB2312" w:hint="eastAsia"/>
          <w:color w:val="000000" w:themeColor="text1"/>
          <w:sz w:val="32"/>
          <w:szCs w:val="32"/>
        </w:rPr>
        <w:t>之嫌</w:t>
      </w:r>
      <w:r w:rsidR="00B208FD" w:rsidRPr="00FB1DA0">
        <w:rPr>
          <w:rFonts w:ascii="仿宋_GB2312" w:eastAsia="仿宋_GB2312" w:hint="eastAsia"/>
          <w:color w:val="000000" w:themeColor="text1"/>
          <w:sz w:val="32"/>
          <w:szCs w:val="32"/>
        </w:rPr>
        <w:t>而</w:t>
      </w:r>
      <w:r w:rsidRPr="00FB1DA0">
        <w:rPr>
          <w:rFonts w:ascii="仿宋_GB2312" w:eastAsia="仿宋_GB2312" w:hint="eastAsia"/>
          <w:color w:val="000000" w:themeColor="text1"/>
          <w:sz w:val="32"/>
          <w:szCs w:val="32"/>
        </w:rPr>
        <w:t>存在争议</w:t>
      </w:r>
      <w:r w:rsidR="00C67364" w:rsidRPr="00FB1DA0">
        <w:rPr>
          <w:rFonts w:ascii="仿宋_GB2312" w:eastAsia="仿宋_GB2312" w:hint="eastAsia"/>
          <w:color w:val="000000" w:themeColor="text1"/>
          <w:sz w:val="32"/>
          <w:szCs w:val="32"/>
        </w:rPr>
        <w:t>，但之后对于拿过地的开发商实施评标扣分制也足以显现该项政策在实践中的不断完善</w:t>
      </w:r>
      <w:r w:rsidR="00B208FD" w:rsidRPr="00FB1DA0">
        <w:rPr>
          <w:rFonts w:ascii="仿宋_GB2312" w:eastAsia="仿宋_GB2312" w:hint="eastAsia"/>
          <w:color w:val="000000" w:themeColor="text1"/>
          <w:sz w:val="32"/>
          <w:szCs w:val="32"/>
        </w:rPr>
        <w:t>升级</w:t>
      </w:r>
      <w:r w:rsidR="00C67364" w:rsidRPr="00FB1DA0">
        <w:rPr>
          <w:rFonts w:ascii="仿宋_GB2312" w:eastAsia="仿宋_GB2312" w:hint="eastAsia"/>
          <w:color w:val="000000" w:themeColor="text1"/>
          <w:sz w:val="32"/>
          <w:szCs w:val="32"/>
        </w:rPr>
        <w:t>。从目前的实施效果来看，地王现象基本偃旗息鼓</w:t>
      </w:r>
      <w:r w:rsidR="00B208FD" w:rsidRPr="00FB1DA0">
        <w:rPr>
          <w:rFonts w:ascii="仿宋_GB2312" w:eastAsia="仿宋_GB2312" w:hint="eastAsia"/>
          <w:color w:val="000000" w:themeColor="text1"/>
          <w:sz w:val="32"/>
          <w:szCs w:val="32"/>
        </w:rPr>
        <w:t>，</w:t>
      </w:r>
      <w:r w:rsidR="00C67364" w:rsidRPr="00FB1DA0">
        <w:rPr>
          <w:rFonts w:ascii="仿宋_GB2312" w:eastAsia="仿宋_GB2312" w:hint="eastAsia"/>
          <w:color w:val="000000" w:themeColor="text1"/>
          <w:sz w:val="32"/>
          <w:szCs w:val="32"/>
        </w:rPr>
        <w:t>而优选开发商也能带来更好的产品及服务，贯彻城市建设更新</w:t>
      </w:r>
      <w:r w:rsidR="00B208FD" w:rsidRPr="00FB1DA0">
        <w:rPr>
          <w:rFonts w:ascii="仿宋_GB2312" w:eastAsia="仿宋_GB2312" w:hint="eastAsia"/>
          <w:color w:val="000000" w:themeColor="text1"/>
          <w:sz w:val="32"/>
          <w:szCs w:val="32"/>
        </w:rPr>
        <w:t>理念</w:t>
      </w:r>
      <w:r w:rsidR="00C67364" w:rsidRPr="00FB1DA0">
        <w:rPr>
          <w:rFonts w:ascii="仿宋_GB2312" w:eastAsia="仿宋_GB2312" w:hint="eastAsia"/>
          <w:color w:val="000000" w:themeColor="text1"/>
          <w:sz w:val="32"/>
          <w:szCs w:val="32"/>
        </w:rPr>
        <w:t>，不失为两全之策。</w:t>
      </w:r>
    </w:p>
    <w:p w:rsidR="007343A7" w:rsidRPr="00FB1DA0" w:rsidRDefault="00074136" w:rsidP="00E428FE">
      <w:pPr>
        <w:pStyle w:val="3"/>
        <w:spacing w:before="0" w:line="360" w:lineRule="auto"/>
        <w:ind w:firstLineChars="200" w:firstLine="683"/>
        <w:jc w:val="both"/>
        <w:rPr>
          <w:rFonts w:ascii="仿宋_GB2312" w:eastAsia="仿宋_GB2312"/>
          <w:sz w:val="32"/>
          <w:szCs w:val="32"/>
          <w:bdr w:val="nil"/>
        </w:rPr>
      </w:pPr>
      <w:r>
        <w:rPr>
          <w:rFonts w:ascii="仿宋_GB2312" w:eastAsia="仿宋_GB2312" w:hint="eastAsia"/>
          <w:sz w:val="32"/>
          <w:szCs w:val="32"/>
          <w:bdr w:val="nil"/>
        </w:rPr>
        <w:t>（三）</w:t>
      </w:r>
      <w:r w:rsidR="00FE7624" w:rsidRPr="00FB1DA0">
        <w:rPr>
          <w:rFonts w:ascii="仿宋_GB2312" w:eastAsia="仿宋_GB2312" w:hint="eastAsia"/>
          <w:sz w:val="32"/>
          <w:szCs w:val="32"/>
          <w:bdr w:val="nil"/>
        </w:rPr>
        <w:t>深化供给</w:t>
      </w:r>
      <w:proofErr w:type="gramStart"/>
      <w:r w:rsidR="00FE7624" w:rsidRPr="00FB1DA0">
        <w:rPr>
          <w:rFonts w:ascii="仿宋_GB2312" w:eastAsia="仿宋_GB2312" w:hint="eastAsia"/>
          <w:sz w:val="32"/>
          <w:szCs w:val="32"/>
          <w:bdr w:val="nil"/>
        </w:rPr>
        <w:t>侧改革</w:t>
      </w:r>
      <w:proofErr w:type="gramEnd"/>
      <w:r w:rsidR="000D1AA3" w:rsidRPr="00FB1DA0">
        <w:rPr>
          <w:rFonts w:ascii="仿宋_GB2312" w:eastAsia="仿宋_GB2312" w:hint="eastAsia"/>
          <w:sz w:val="32"/>
          <w:szCs w:val="32"/>
          <w:bdr w:val="nil"/>
        </w:rPr>
        <w:t xml:space="preserve"> 建立</w:t>
      </w:r>
      <w:r w:rsidR="00F82519" w:rsidRPr="00FB1DA0">
        <w:rPr>
          <w:rFonts w:ascii="仿宋_GB2312" w:eastAsia="仿宋_GB2312" w:hint="eastAsia"/>
          <w:sz w:val="32"/>
          <w:szCs w:val="32"/>
          <w:bdr w:val="nil"/>
        </w:rPr>
        <w:t>购租</w:t>
      </w:r>
      <w:r w:rsidR="000D1AA3" w:rsidRPr="00FB1DA0">
        <w:rPr>
          <w:rFonts w:ascii="仿宋_GB2312" w:eastAsia="仿宋_GB2312" w:hint="eastAsia"/>
          <w:sz w:val="32"/>
          <w:szCs w:val="32"/>
          <w:bdr w:val="nil"/>
        </w:rPr>
        <w:t>并举</w:t>
      </w:r>
      <w:r w:rsidR="00FE7624" w:rsidRPr="00FB1DA0">
        <w:rPr>
          <w:rFonts w:ascii="仿宋_GB2312" w:eastAsia="仿宋_GB2312" w:hint="eastAsia"/>
          <w:sz w:val="32"/>
          <w:szCs w:val="32"/>
          <w:bdr w:val="nil"/>
        </w:rPr>
        <w:t>的房地产市场</w:t>
      </w:r>
    </w:p>
    <w:p w:rsidR="007343A7" w:rsidRPr="00FB1DA0" w:rsidRDefault="002E2D73"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相对于稳定地价，增加土地供应，建</w:t>
      </w:r>
      <w:r w:rsidR="007343A7" w:rsidRPr="00FB1DA0">
        <w:rPr>
          <w:rFonts w:ascii="仿宋_GB2312" w:eastAsia="仿宋_GB2312" w:hint="eastAsia"/>
          <w:color w:val="000000" w:themeColor="text1"/>
          <w:sz w:val="32"/>
          <w:szCs w:val="32"/>
        </w:rPr>
        <w:t>立</w:t>
      </w:r>
      <w:proofErr w:type="gramStart"/>
      <w:r w:rsidR="007343A7" w:rsidRPr="00FB1DA0">
        <w:rPr>
          <w:rFonts w:ascii="仿宋_GB2312" w:eastAsia="仿宋_GB2312" w:hint="eastAsia"/>
          <w:color w:val="000000" w:themeColor="text1"/>
          <w:sz w:val="32"/>
          <w:szCs w:val="32"/>
        </w:rPr>
        <w:t>健全购</w:t>
      </w:r>
      <w:proofErr w:type="gramEnd"/>
      <w:r w:rsidR="007343A7" w:rsidRPr="00FB1DA0">
        <w:rPr>
          <w:rFonts w:ascii="仿宋_GB2312" w:eastAsia="仿宋_GB2312" w:hint="eastAsia"/>
          <w:color w:val="000000" w:themeColor="text1"/>
          <w:sz w:val="32"/>
          <w:szCs w:val="32"/>
        </w:rPr>
        <w:t>租并举的住房制度</w:t>
      </w:r>
      <w:r w:rsidR="00B208FD" w:rsidRPr="00FB1DA0">
        <w:rPr>
          <w:rFonts w:ascii="仿宋_GB2312" w:eastAsia="仿宋_GB2312" w:hint="eastAsia"/>
          <w:color w:val="000000" w:themeColor="text1"/>
          <w:sz w:val="32"/>
          <w:szCs w:val="32"/>
        </w:rPr>
        <w:t>、</w:t>
      </w:r>
      <w:r w:rsidR="007343A7" w:rsidRPr="00FB1DA0">
        <w:rPr>
          <w:rFonts w:ascii="仿宋_GB2312" w:eastAsia="仿宋_GB2312" w:hint="eastAsia"/>
          <w:color w:val="000000" w:themeColor="text1"/>
          <w:sz w:val="32"/>
          <w:szCs w:val="32"/>
        </w:rPr>
        <w:t>培育和发展住房市场</w:t>
      </w:r>
      <w:r w:rsidRPr="00FB1DA0">
        <w:rPr>
          <w:rFonts w:ascii="仿宋_GB2312" w:eastAsia="仿宋_GB2312" w:hint="eastAsia"/>
          <w:color w:val="000000" w:themeColor="text1"/>
          <w:sz w:val="32"/>
          <w:szCs w:val="32"/>
        </w:rPr>
        <w:t>则是让房子回归居住属性更为</w:t>
      </w:r>
      <w:r w:rsidR="00B208FD" w:rsidRPr="00FB1DA0">
        <w:rPr>
          <w:rFonts w:ascii="仿宋_GB2312" w:eastAsia="仿宋_GB2312" w:hint="eastAsia"/>
          <w:color w:val="000000" w:themeColor="text1"/>
          <w:sz w:val="32"/>
          <w:szCs w:val="32"/>
        </w:rPr>
        <w:t>直接</w:t>
      </w:r>
      <w:r w:rsidRPr="00FB1DA0">
        <w:rPr>
          <w:rFonts w:ascii="仿宋_GB2312" w:eastAsia="仿宋_GB2312" w:hint="eastAsia"/>
          <w:color w:val="000000" w:themeColor="text1"/>
          <w:sz w:val="32"/>
          <w:szCs w:val="32"/>
        </w:rPr>
        <w:t>的保障。</w:t>
      </w:r>
    </w:p>
    <w:p w:rsidR="002E2D73" w:rsidRPr="00FB1DA0" w:rsidRDefault="002E2D73"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从目前各地的实施情况来看，完善租赁市场的相关配套政策正在不断上马中：</w:t>
      </w:r>
      <w:r w:rsidR="00B208FD" w:rsidRPr="00FB1DA0">
        <w:rPr>
          <w:rFonts w:ascii="仿宋_GB2312" w:eastAsia="仿宋_GB2312" w:hint="eastAsia"/>
          <w:color w:val="000000" w:themeColor="text1"/>
          <w:sz w:val="32"/>
          <w:szCs w:val="32"/>
        </w:rPr>
        <w:t>2017年</w:t>
      </w:r>
      <w:r w:rsidR="00B51D6A" w:rsidRPr="00FB1DA0">
        <w:rPr>
          <w:rFonts w:ascii="仿宋_GB2312" w:eastAsia="仿宋_GB2312" w:hint="eastAsia"/>
          <w:color w:val="000000" w:themeColor="text1"/>
          <w:sz w:val="32"/>
          <w:szCs w:val="32"/>
        </w:rPr>
        <w:t>7</w:t>
      </w:r>
      <w:r w:rsidR="00B208FD" w:rsidRPr="00FB1DA0">
        <w:rPr>
          <w:rFonts w:ascii="仿宋_GB2312" w:eastAsia="仿宋_GB2312" w:hint="eastAsia"/>
          <w:color w:val="000000" w:themeColor="text1"/>
          <w:sz w:val="32"/>
          <w:szCs w:val="32"/>
        </w:rPr>
        <w:t>月</w:t>
      </w:r>
      <w:r w:rsidR="00B51D6A" w:rsidRPr="00FB1DA0">
        <w:rPr>
          <w:rFonts w:ascii="仿宋_GB2312" w:eastAsia="仿宋_GB2312" w:hint="eastAsia"/>
          <w:color w:val="000000" w:themeColor="text1"/>
          <w:sz w:val="32"/>
          <w:szCs w:val="32"/>
        </w:rPr>
        <w:t>住建部</w:t>
      </w:r>
      <w:proofErr w:type="gramStart"/>
      <w:r w:rsidR="00B51D6A" w:rsidRPr="00FB1DA0">
        <w:rPr>
          <w:rFonts w:ascii="仿宋_GB2312" w:eastAsia="仿宋_GB2312" w:hint="eastAsia"/>
          <w:color w:val="000000" w:themeColor="text1"/>
          <w:sz w:val="32"/>
          <w:szCs w:val="32"/>
        </w:rPr>
        <w:t>会同八</w:t>
      </w:r>
      <w:proofErr w:type="gramEnd"/>
      <w:r w:rsidR="00B51D6A" w:rsidRPr="00FB1DA0">
        <w:rPr>
          <w:rFonts w:ascii="仿宋_GB2312" w:eastAsia="仿宋_GB2312" w:hint="eastAsia"/>
          <w:color w:val="000000" w:themeColor="text1"/>
          <w:sz w:val="32"/>
          <w:szCs w:val="32"/>
        </w:rPr>
        <w:t>部委印发《关于在人口净流入的大中城市加快发展住房租赁市场的通知》，要求在人口净流入的大中城市，加快发展住房租赁市场。目前已选取了广州、深圳等12个城市作为首批开展住房租赁试点的单位；国土部则于8月制定《利用集体建设用地建设租赁住房试点方案》，确定第一批在北京、上海等13个城市开展利用集体建设用地建设租赁住房试点。</w:t>
      </w:r>
    </w:p>
    <w:p w:rsidR="00B51D6A" w:rsidRPr="00FB1DA0" w:rsidRDefault="00B208FD"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上海也在</w:t>
      </w:r>
      <w:r w:rsidR="00B51D6A" w:rsidRPr="00FB1DA0">
        <w:rPr>
          <w:rFonts w:ascii="仿宋_GB2312" w:eastAsia="仿宋_GB2312" w:hint="eastAsia"/>
          <w:color w:val="000000" w:themeColor="text1"/>
          <w:sz w:val="32"/>
          <w:szCs w:val="32"/>
        </w:rPr>
        <w:t>“十三五”住房规划中明确提到新增租赁用房占比为十三五期间住房供应量的70%；8月上海市住建委明确，将研究制订商业用房（商业、商住、商办）改为租赁用房的实施细则；截止至8月底，上海已累计供应租赁住房用地12幅，另将两幅位于静安区的商业用地转为租赁用地。</w:t>
      </w:r>
    </w:p>
    <w:p w:rsidR="00B208FD" w:rsidRPr="00FB1DA0" w:rsidRDefault="003A6EEF"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lastRenderedPageBreak/>
        <w:t>至此，以一线城市领衔，二三线城市</w:t>
      </w:r>
      <w:r w:rsidR="00B208FD" w:rsidRPr="00FB1DA0">
        <w:rPr>
          <w:rFonts w:ascii="仿宋_GB2312" w:eastAsia="仿宋_GB2312" w:hint="eastAsia"/>
          <w:color w:val="000000" w:themeColor="text1"/>
          <w:sz w:val="32"/>
          <w:szCs w:val="32"/>
        </w:rPr>
        <w:t>跟进</w:t>
      </w:r>
      <w:r w:rsidRPr="00FB1DA0">
        <w:rPr>
          <w:rFonts w:ascii="仿宋_GB2312" w:eastAsia="仿宋_GB2312" w:hint="eastAsia"/>
          <w:color w:val="000000" w:themeColor="text1"/>
          <w:sz w:val="32"/>
          <w:szCs w:val="32"/>
        </w:rPr>
        <w:t>的建立及完善租赁市场的发展方向已初现雏形，但</w:t>
      </w:r>
      <w:r w:rsidR="007343A7" w:rsidRPr="00FB1DA0">
        <w:rPr>
          <w:rFonts w:ascii="仿宋_GB2312" w:eastAsia="仿宋_GB2312" w:hint="eastAsia"/>
          <w:color w:val="000000" w:themeColor="text1"/>
          <w:sz w:val="32"/>
          <w:szCs w:val="32"/>
        </w:rPr>
        <w:t>增加租赁用地以及租赁房屋并未完全解决租房痛点，租赁房屋是否可以同等享受</w:t>
      </w:r>
      <w:r w:rsidR="00B208FD" w:rsidRPr="00FB1DA0">
        <w:rPr>
          <w:rFonts w:ascii="仿宋_GB2312" w:eastAsia="仿宋_GB2312" w:hint="eastAsia"/>
          <w:color w:val="000000" w:themeColor="text1"/>
          <w:sz w:val="32"/>
          <w:szCs w:val="32"/>
        </w:rPr>
        <w:t>包括教育、医疗、户口等在内的同等社会福利更需要配套措施予以保证。</w:t>
      </w:r>
    </w:p>
    <w:p w:rsidR="00731D0C" w:rsidRPr="00FB1DA0" w:rsidRDefault="00B208FD"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对此，广州等城市已率先形成政策试验田：2017年7月，</w:t>
      </w:r>
      <w:r w:rsidR="00731D0C" w:rsidRPr="00FB1DA0">
        <w:rPr>
          <w:rFonts w:ascii="仿宋_GB2312" w:eastAsia="仿宋_GB2312" w:hint="eastAsia"/>
          <w:color w:val="000000" w:themeColor="text1"/>
          <w:sz w:val="32"/>
          <w:szCs w:val="32"/>
        </w:rPr>
        <w:t>广州市</w:t>
      </w:r>
      <w:r w:rsidR="003A6EEF" w:rsidRPr="00FB1DA0">
        <w:rPr>
          <w:rFonts w:ascii="仿宋_GB2312" w:eastAsia="仿宋_GB2312" w:hint="eastAsia"/>
          <w:color w:val="000000" w:themeColor="text1"/>
          <w:sz w:val="32"/>
          <w:szCs w:val="32"/>
        </w:rPr>
        <w:t>发布</w:t>
      </w:r>
      <w:bookmarkStart w:id="17" w:name="OLE_LINK4"/>
      <w:bookmarkStart w:id="18" w:name="OLE_LINK5"/>
      <w:r w:rsidR="007343A7" w:rsidRPr="00FB1DA0">
        <w:rPr>
          <w:rFonts w:ascii="仿宋_GB2312" w:eastAsia="仿宋_GB2312" w:hint="eastAsia"/>
          <w:color w:val="000000" w:themeColor="text1"/>
          <w:sz w:val="32"/>
          <w:szCs w:val="32"/>
        </w:rPr>
        <w:t>《广州市人民政府办公厅关于印发广州市加快发展住房租赁市场工作方案的通知》</w:t>
      </w:r>
      <w:bookmarkEnd w:id="17"/>
      <w:bookmarkEnd w:id="18"/>
      <w:r w:rsidR="00731D0C" w:rsidRPr="00FB1DA0">
        <w:rPr>
          <w:rFonts w:ascii="仿宋_GB2312" w:eastAsia="仿宋_GB2312" w:hint="eastAsia"/>
          <w:color w:val="000000" w:themeColor="text1"/>
          <w:sz w:val="32"/>
          <w:szCs w:val="32"/>
        </w:rPr>
        <w:t>，</w:t>
      </w:r>
      <w:r w:rsidR="007343A7" w:rsidRPr="00FB1DA0">
        <w:rPr>
          <w:rFonts w:ascii="仿宋_GB2312" w:eastAsia="仿宋_GB2312" w:hint="eastAsia"/>
          <w:color w:val="000000" w:themeColor="text1"/>
          <w:sz w:val="32"/>
          <w:szCs w:val="32"/>
        </w:rPr>
        <w:t>赋予符合条件的承租人子女享有就近入学等公共服务权益，</w:t>
      </w:r>
      <w:r w:rsidR="00731D0C" w:rsidRPr="00FB1DA0">
        <w:rPr>
          <w:rFonts w:ascii="仿宋_GB2312" w:eastAsia="仿宋_GB2312" w:hint="eastAsia"/>
          <w:color w:val="000000" w:themeColor="text1"/>
          <w:sz w:val="32"/>
          <w:szCs w:val="32"/>
        </w:rPr>
        <w:t>保障租购同权；</w:t>
      </w:r>
      <w:r w:rsidR="003A6EEF" w:rsidRPr="00FB1DA0">
        <w:rPr>
          <w:rFonts w:ascii="仿宋_GB2312" w:eastAsia="仿宋_GB2312" w:hint="eastAsia"/>
          <w:color w:val="000000" w:themeColor="text1"/>
          <w:sz w:val="32"/>
          <w:szCs w:val="32"/>
        </w:rPr>
        <w:t>长沙、成都等地更是在人才争夺战的裹挟下解</w:t>
      </w:r>
      <w:proofErr w:type="gramStart"/>
      <w:r w:rsidR="003A6EEF" w:rsidRPr="00FB1DA0">
        <w:rPr>
          <w:rFonts w:ascii="仿宋_GB2312" w:eastAsia="仿宋_GB2312" w:hint="eastAsia"/>
          <w:color w:val="000000" w:themeColor="text1"/>
          <w:sz w:val="32"/>
          <w:szCs w:val="32"/>
        </w:rPr>
        <w:t>绑</w:t>
      </w:r>
      <w:proofErr w:type="gramEnd"/>
      <w:r w:rsidR="003A6EEF" w:rsidRPr="00FB1DA0">
        <w:rPr>
          <w:rFonts w:ascii="仿宋_GB2312" w:eastAsia="仿宋_GB2312" w:hint="eastAsia"/>
          <w:color w:val="000000" w:themeColor="text1"/>
          <w:sz w:val="32"/>
          <w:szCs w:val="32"/>
        </w:rPr>
        <w:t>户口与自有住房联系，使福利落实到“人”而非房屋之上。</w:t>
      </w:r>
    </w:p>
    <w:p w:rsidR="00B208FD" w:rsidRPr="00FB1DA0" w:rsidRDefault="00B208FD" w:rsidP="00E428FE">
      <w:pPr>
        <w:adjustRightInd w:val="0"/>
        <w:snapToGrid w:val="0"/>
        <w:spacing w:line="360" w:lineRule="auto"/>
        <w:ind w:firstLineChars="200" w:firstLine="640"/>
        <w:jc w:val="both"/>
        <w:rPr>
          <w:rFonts w:ascii="仿宋_GB2312" w:eastAsia="仿宋_GB2312"/>
          <w:color w:val="000000" w:themeColor="text1"/>
          <w:sz w:val="32"/>
          <w:szCs w:val="32"/>
        </w:rPr>
      </w:pPr>
      <w:proofErr w:type="gramStart"/>
      <w:r w:rsidRPr="00FB1DA0">
        <w:rPr>
          <w:rFonts w:ascii="仿宋_GB2312" w:eastAsia="仿宋_GB2312" w:hint="eastAsia"/>
          <w:color w:val="000000" w:themeColor="text1"/>
          <w:sz w:val="32"/>
          <w:szCs w:val="32"/>
        </w:rPr>
        <w:t>加之通过</w:t>
      </w:r>
      <w:proofErr w:type="gramEnd"/>
      <w:r w:rsidRPr="00FB1DA0">
        <w:rPr>
          <w:rFonts w:ascii="仿宋_GB2312" w:eastAsia="仿宋_GB2312" w:hint="eastAsia"/>
          <w:color w:val="000000" w:themeColor="text1"/>
          <w:sz w:val="32"/>
          <w:szCs w:val="32"/>
        </w:rPr>
        <w:t>国企转型、互联网巨头介入（如杭州市已邀请阿里巴巴共同搭建租赁住房平台）、建设政府住房租赁交易服务平台等相关配套政策的跟上，在供应端及福利层面共同搭建健康有序的租赁市场，实现</w:t>
      </w:r>
      <w:bookmarkStart w:id="19" w:name="OLE_LINK6"/>
      <w:r w:rsidRPr="00FB1DA0">
        <w:rPr>
          <w:rFonts w:ascii="仿宋_GB2312" w:eastAsia="仿宋_GB2312" w:hint="eastAsia"/>
          <w:color w:val="000000" w:themeColor="text1"/>
          <w:sz w:val="32"/>
          <w:szCs w:val="32"/>
        </w:rPr>
        <w:t>购租并举的房地产供应体系。</w:t>
      </w:r>
    </w:p>
    <w:bookmarkEnd w:id="19"/>
    <w:p w:rsidR="009C69CF" w:rsidRPr="00FB1DA0" w:rsidRDefault="00074136" w:rsidP="00E428FE">
      <w:pPr>
        <w:pStyle w:val="3"/>
        <w:spacing w:before="0" w:line="360" w:lineRule="auto"/>
        <w:ind w:firstLineChars="200" w:firstLine="683"/>
        <w:jc w:val="both"/>
        <w:rPr>
          <w:rFonts w:ascii="仿宋_GB2312" w:eastAsia="仿宋_GB2312"/>
          <w:sz w:val="32"/>
          <w:szCs w:val="32"/>
          <w:bdr w:val="nil"/>
        </w:rPr>
      </w:pPr>
      <w:r>
        <w:rPr>
          <w:rFonts w:ascii="仿宋_GB2312" w:eastAsia="仿宋_GB2312" w:hint="eastAsia"/>
          <w:sz w:val="32"/>
          <w:szCs w:val="32"/>
          <w:bdr w:val="nil"/>
        </w:rPr>
        <w:t>（四）</w:t>
      </w:r>
      <w:r w:rsidR="00B208FD" w:rsidRPr="00FB1DA0">
        <w:rPr>
          <w:rFonts w:ascii="仿宋_GB2312" w:eastAsia="仿宋_GB2312" w:hint="eastAsia"/>
          <w:sz w:val="32"/>
          <w:szCs w:val="32"/>
          <w:bdr w:val="nil"/>
        </w:rPr>
        <w:t>房地产税收</w:t>
      </w:r>
      <w:r w:rsidR="008E3B27" w:rsidRPr="00FB1DA0">
        <w:rPr>
          <w:rFonts w:ascii="仿宋_GB2312" w:eastAsia="仿宋_GB2312" w:hint="eastAsia"/>
          <w:sz w:val="32"/>
          <w:szCs w:val="32"/>
          <w:bdr w:val="nil"/>
        </w:rPr>
        <w:t>落地，差别化调节市场供需</w:t>
      </w:r>
    </w:p>
    <w:p w:rsidR="002A371E" w:rsidRPr="00FB1DA0" w:rsidRDefault="002A371E"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房地产税这个话题几成老生常谈，在上海、重庆的试点之后便没有了实质性进展。近日，住建部发布强烈的房地产税信号，加快立法，房地产税的出台只是时间问题。</w:t>
      </w:r>
    </w:p>
    <w:p w:rsidR="009C69CF" w:rsidRPr="00FB1DA0" w:rsidRDefault="008E3B27"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建立</w:t>
      </w:r>
      <w:r w:rsidR="00D72307" w:rsidRPr="00FB1DA0">
        <w:rPr>
          <w:rFonts w:ascii="仿宋_GB2312" w:eastAsia="仿宋_GB2312" w:hint="eastAsia"/>
          <w:color w:val="000000" w:themeColor="text1"/>
          <w:sz w:val="32"/>
          <w:szCs w:val="32"/>
        </w:rPr>
        <w:t>高端有遏制，中端有鼓励，终端有保障</w:t>
      </w:r>
      <w:r w:rsidRPr="00FB1DA0">
        <w:rPr>
          <w:rFonts w:ascii="仿宋_GB2312" w:eastAsia="仿宋_GB2312" w:hint="eastAsia"/>
          <w:color w:val="000000" w:themeColor="text1"/>
          <w:sz w:val="32"/>
          <w:szCs w:val="32"/>
        </w:rPr>
        <w:t>的</w:t>
      </w:r>
      <w:r w:rsidR="00D72307" w:rsidRPr="00FB1DA0">
        <w:rPr>
          <w:rFonts w:ascii="仿宋_GB2312" w:eastAsia="仿宋_GB2312" w:hint="eastAsia"/>
          <w:color w:val="000000" w:themeColor="text1"/>
          <w:sz w:val="32"/>
          <w:szCs w:val="32"/>
        </w:rPr>
        <w:t>差别化的税收政策</w:t>
      </w:r>
      <w:r w:rsidRPr="00FB1DA0">
        <w:rPr>
          <w:rFonts w:ascii="仿宋_GB2312" w:eastAsia="仿宋_GB2312" w:hint="eastAsia"/>
          <w:color w:val="000000" w:themeColor="text1"/>
          <w:sz w:val="32"/>
          <w:szCs w:val="32"/>
        </w:rPr>
        <w:t>，从而</w:t>
      </w:r>
      <w:r w:rsidR="002A371E" w:rsidRPr="00FB1DA0">
        <w:rPr>
          <w:rFonts w:ascii="仿宋_GB2312" w:eastAsia="仿宋_GB2312" w:hint="eastAsia"/>
          <w:color w:val="000000" w:themeColor="text1"/>
          <w:sz w:val="32"/>
          <w:szCs w:val="32"/>
        </w:rPr>
        <w:t>提高房屋持有者的成本，</w:t>
      </w:r>
      <w:r w:rsidRPr="00FB1DA0">
        <w:rPr>
          <w:rFonts w:ascii="仿宋_GB2312" w:eastAsia="仿宋_GB2312" w:hint="eastAsia"/>
          <w:color w:val="000000" w:themeColor="text1"/>
          <w:sz w:val="32"/>
          <w:szCs w:val="32"/>
        </w:rPr>
        <w:t>间接改变市场预期，调整市场供需状况。</w:t>
      </w:r>
    </w:p>
    <w:p w:rsidR="001B14A5" w:rsidRPr="00FB1DA0" w:rsidRDefault="00C35B7B" w:rsidP="00E428FE">
      <w:pPr>
        <w:pStyle w:val="2"/>
        <w:spacing w:before="0" w:line="360" w:lineRule="auto"/>
        <w:ind w:firstLineChars="200" w:firstLine="723"/>
        <w:jc w:val="both"/>
        <w:rPr>
          <w:rFonts w:ascii="仿宋_GB2312" w:eastAsia="仿宋_GB2312"/>
          <w:color w:val="000000" w:themeColor="text1"/>
          <w:sz w:val="32"/>
          <w:szCs w:val="32"/>
          <w:lang w:val="zh-CN"/>
        </w:rPr>
      </w:pPr>
      <w:r w:rsidRPr="00FB1DA0">
        <w:rPr>
          <w:rFonts w:ascii="仿宋_GB2312" w:eastAsia="仿宋_GB2312" w:hint="eastAsia"/>
          <w:color w:val="000000" w:themeColor="text1"/>
          <w:sz w:val="32"/>
          <w:szCs w:val="32"/>
          <w:lang w:val="zh-CN"/>
        </w:rPr>
        <w:lastRenderedPageBreak/>
        <w:t>四、</w:t>
      </w:r>
      <w:r w:rsidR="001B14A5" w:rsidRPr="00FB1DA0">
        <w:rPr>
          <w:rFonts w:ascii="仿宋_GB2312" w:eastAsia="仿宋_GB2312" w:hint="eastAsia"/>
          <w:color w:val="000000" w:themeColor="text1"/>
          <w:sz w:val="32"/>
          <w:szCs w:val="32"/>
          <w:lang w:val="zh-CN"/>
        </w:rPr>
        <w:t>结</w:t>
      </w:r>
      <w:r w:rsidR="00F357DA" w:rsidRPr="00FB1DA0">
        <w:rPr>
          <w:rFonts w:ascii="仿宋_GB2312" w:eastAsia="仿宋_GB2312" w:hint="eastAsia"/>
          <w:color w:val="000000" w:themeColor="text1"/>
          <w:sz w:val="32"/>
          <w:szCs w:val="32"/>
          <w:lang w:val="zh-CN"/>
        </w:rPr>
        <w:t>语</w:t>
      </w:r>
    </w:p>
    <w:p w:rsidR="00115D15" w:rsidRPr="00FB1DA0" w:rsidRDefault="007E29BA" w:rsidP="00E428FE">
      <w:pPr>
        <w:adjustRightInd w:val="0"/>
        <w:snapToGrid w:val="0"/>
        <w:spacing w:line="360" w:lineRule="auto"/>
        <w:ind w:firstLineChars="200" w:firstLine="640"/>
        <w:jc w:val="both"/>
        <w:rPr>
          <w:rFonts w:ascii="仿宋_GB2312" w:eastAsia="仿宋_GB2312"/>
          <w:color w:val="000000" w:themeColor="text1"/>
          <w:sz w:val="32"/>
          <w:szCs w:val="32"/>
        </w:rPr>
      </w:pPr>
      <w:r w:rsidRPr="00FB1DA0">
        <w:rPr>
          <w:rFonts w:ascii="仿宋_GB2312" w:eastAsia="仿宋_GB2312" w:hint="eastAsia"/>
          <w:color w:val="000000" w:themeColor="text1"/>
          <w:sz w:val="32"/>
          <w:szCs w:val="32"/>
        </w:rPr>
        <w:t>各种限购、限贷政策以及新出台</w:t>
      </w:r>
      <w:r w:rsidR="00F73EE7" w:rsidRPr="00FB1DA0">
        <w:rPr>
          <w:rFonts w:ascii="仿宋_GB2312" w:eastAsia="仿宋_GB2312" w:hint="eastAsia"/>
          <w:color w:val="000000" w:themeColor="text1"/>
          <w:sz w:val="32"/>
          <w:szCs w:val="32"/>
        </w:rPr>
        <w:t>的长效机制的实施均意在稳定房地产市场，降低</w:t>
      </w:r>
      <w:r w:rsidR="008E3B27" w:rsidRPr="00FB1DA0">
        <w:rPr>
          <w:rFonts w:ascii="仿宋_GB2312" w:eastAsia="仿宋_GB2312" w:hint="eastAsia"/>
          <w:color w:val="000000" w:themeColor="text1"/>
          <w:sz w:val="32"/>
          <w:szCs w:val="32"/>
        </w:rPr>
        <w:t>住宅房地产的</w:t>
      </w:r>
      <w:r w:rsidR="00F73EE7" w:rsidRPr="00FB1DA0">
        <w:rPr>
          <w:rFonts w:ascii="仿宋_GB2312" w:eastAsia="仿宋_GB2312" w:hint="eastAsia"/>
          <w:color w:val="000000" w:themeColor="text1"/>
          <w:sz w:val="32"/>
          <w:szCs w:val="32"/>
        </w:rPr>
        <w:t>金融属性从而回归居住本质。若限购限贷长期保持不变，短期内不再出现大幅刺激，同时各项长效机制也能逐步落实到位，那么房地产市场或将</w:t>
      </w:r>
      <w:r w:rsidR="008E3B27" w:rsidRPr="00FB1DA0">
        <w:rPr>
          <w:rFonts w:ascii="仿宋_GB2312" w:eastAsia="仿宋_GB2312" w:hint="eastAsia"/>
          <w:color w:val="000000" w:themeColor="text1"/>
          <w:sz w:val="32"/>
          <w:szCs w:val="32"/>
        </w:rPr>
        <w:t>逐步</w:t>
      </w:r>
      <w:r w:rsidR="00F73EE7" w:rsidRPr="00FB1DA0">
        <w:rPr>
          <w:rFonts w:ascii="仿宋_GB2312" w:eastAsia="仿宋_GB2312" w:hint="eastAsia"/>
          <w:color w:val="000000" w:themeColor="text1"/>
          <w:sz w:val="32"/>
          <w:szCs w:val="32"/>
        </w:rPr>
        <w:t>趋于理性，对于未来房地产市场的健康发展将具有</w:t>
      </w:r>
      <w:bookmarkStart w:id="20" w:name="_GoBack"/>
      <w:r w:rsidR="00F73EE7" w:rsidRPr="00FB1DA0">
        <w:rPr>
          <w:rFonts w:ascii="仿宋_GB2312" w:eastAsia="仿宋_GB2312" w:hint="eastAsia"/>
          <w:color w:val="000000" w:themeColor="text1"/>
          <w:sz w:val="32"/>
          <w:szCs w:val="32"/>
        </w:rPr>
        <w:t>深远的意义。</w:t>
      </w:r>
    </w:p>
    <w:bookmarkEnd w:id="20"/>
    <w:p w:rsidR="00FB1DA0" w:rsidRDefault="00FB1DA0" w:rsidP="00E428FE">
      <w:pPr>
        <w:spacing w:line="360" w:lineRule="auto"/>
        <w:ind w:firstLine="200"/>
        <w:jc w:val="both"/>
        <w:rPr>
          <w:rFonts w:ascii="仿宋_GB2312" w:eastAsia="仿宋_GB2312" w:hAnsiTheme="minorEastAsia"/>
          <w:color w:val="000000" w:themeColor="text1"/>
          <w:sz w:val="32"/>
          <w:szCs w:val="32"/>
        </w:rPr>
      </w:pPr>
    </w:p>
    <w:p w:rsidR="003C064D" w:rsidRPr="003C064D" w:rsidRDefault="003C064D" w:rsidP="003C064D">
      <w:pPr>
        <w:adjustRightInd w:val="0"/>
        <w:snapToGrid w:val="0"/>
        <w:spacing w:line="360" w:lineRule="auto"/>
        <w:jc w:val="both"/>
        <w:rPr>
          <w:rFonts w:ascii="仿宋_GB2312" w:eastAsia="仿宋_GB2312" w:hAnsiTheme="minorEastAsia"/>
          <w:b/>
          <w:color w:val="000000" w:themeColor="text1"/>
          <w:sz w:val="32"/>
          <w:szCs w:val="32"/>
        </w:rPr>
      </w:pPr>
      <w:r w:rsidRPr="003C064D">
        <w:rPr>
          <w:rFonts w:ascii="仿宋_GB2312" w:eastAsia="仿宋_GB2312" w:hAnsiTheme="minorEastAsia" w:hint="eastAsia"/>
          <w:b/>
          <w:color w:val="000000" w:themeColor="text1"/>
          <w:sz w:val="32"/>
          <w:szCs w:val="32"/>
        </w:rPr>
        <w:t>参考资料：</w:t>
      </w:r>
    </w:p>
    <w:p w:rsidR="003C064D" w:rsidRPr="003C064D" w:rsidRDefault="003C064D" w:rsidP="003C064D">
      <w:pPr>
        <w:adjustRightInd w:val="0"/>
        <w:snapToGrid w:val="0"/>
        <w:spacing w:line="360" w:lineRule="auto"/>
        <w:jc w:val="both"/>
        <w:rPr>
          <w:rFonts w:ascii="仿宋_GB2312" w:eastAsia="仿宋_GB2312"/>
          <w:color w:val="000000" w:themeColor="text1"/>
          <w:sz w:val="32"/>
          <w:szCs w:val="32"/>
        </w:rPr>
      </w:pPr>
      <w:r w:rsidRPr="003C064D">
        <w:rPr>
          <w:rFonts w:ascii="仿宋_GB2312" w:eastAsia="仿宋_GB2312" w:hint="eastAsia"/>
          <w:color w:val="000000" w:themeColor="text1"/>
          <w:sz w:val="32"/>
          <w:szCs w:val="32"/>
        </w:rPr>
        <w:t>［</w:t>
      </w:r>
      <w:r w:rsidRPr="003C064D">
        <w:rPr>
          <w:rFonts w:ascii="仿宋_GB2312" w:eastAsia="仿宋_GB2312"/>
          <w:color w:val="000000" w:themeColor="text1"/>
          <w:sz w:val="32"/>
          <w:szCs w:val="32"/>
        </w:rPr>
        <w:t>1］</w:t>
      </w:r>
      <w:r w:rsidRPr="003C064D">
        <w:rPr>
          <w:rFonts w:ascii="仿宋_GB2312" w:eastAsia="仿宋_GB2312" w:hint="eastAsia"/>
          <w:color w:val="000000" w:themeColor="text1"/>
          <w:sz w:val="32"/>
          <w:szCs w:val="32"/>
        </w:rPr>
        <w:t>黄奇帆</w:t>
      </w:r>
      <w:r w:rsidRPr="003C064D">
        <w:rPr>
          <w:rFonts w:ascii="仿宋_GB2312" w:eastAsia="仿宋_GB2312"/>
          <w:color w:val="000000" w:themeColor="text1"/>
          <w:sz w:val="32"/>
          <w:szCs w:val="32"/>
        </w:rPr>
        <w:t>.</w:t>
      </w:r>
      <w:r w:rsidRPr="003C064D">
        <w:rPr>
          <w:rFonts w:ascii="仿宋_GB2312" w:eastAsia="仿宋_GB2312" w:hint="eastAsia"/>
          <w:color w:val="000000" w:themeColor="text1"/>
          <w:sz w:val="32"/>
          <w:szCs w:val="32"/>
        </w:rPr>
        <w:t>建立房地产长效机制若干思考</w:t>
      </w:r>
      <w:r w:rsidRPr="003C064D">
        <w:rPr>
          <w:rFonts w:ascii="仿宋_GB2312" w:eastAsia="仿宋_GB2312"/>
          <w:color w:val="000000" w:themeColor="text1"/>
          <w:sz w:val="32"/>
          <w:szCs w:val="32"/>
        </w:rPr>
        <w:t>［EB/OL］.http://finance.ifeng.com/a/20170528/15416398_0.shtml,2017.05.28.</w:t>
      </w:r>
    </w:p>
    <w:p w:rsidR="00FB1DA0" w:rsidRDefault="00FB1DA0" w:rsidP="00E428FE">
      <w:pPr>
        <w:spacing w:line="360" w:lineRule="auto"/>
        <w:ind w:firstLine="200"/>
        <w:jc w:val="both"/>
        <w:rPr>
          <w:rFonts w:ascii="仿宋_GB2312" w:eastAsia="仿宋_GB2312" w:hAnsiTheme="minorEastAsia"/>
          <w:color w:val="000000" w:themeColor="text1"/>
          <w:sz w:val="32"/>
          <w:szCs w:val="32"/>
        </w:rPr>
      </w:pPr>
    </w:p>
    <w:p w:rsidR="00D93CC5" w:rsidRPr="00EC3EA7" w:rsidRDefault="00EC3EA7" w:rsidP="00EC3EA7">
      <w:pPr>
        <w:spacing w:line="360" w:lineRule="auto"/>
        <w:ind w:firstLine="200"/>
        <w:jc w:val="right"/>
        <w:rPr>
          <w:rFonts w:ascii="仿宋_GB2312" w:eastAsia="仿宋_GB2312"/>
          <w:sz w:val="28"/>
          <w:szCs w:val="28"/>
        </w:rPr>
      </w:pPr>
      <w:r w:rsidRPr="00EC3EA7">
        <w:rPr>
          <w:rFonts w:ascii="仿宋_GB2312" w:eastAsia="仿宋_GB2312" w:cs="微软雅黑" w:hint="eastAsia"/>
          <w:sz w:val="28"/>
          <w:szCs w:val="28"/>
        </w:rPr>
        <w:t>（作者</w:t>
      </w:r>
      <w:r w:rsidRPr="00EC3EA7">
        <w:rPr>
          <w:rFonts w:ascii="仿宋_GB2312" w:eastAsia="仿宋_GB2312" w:hint="eastAsia"/>
          <w:sz w:val="28"/>
          <w:szCs w:val="28"/>
        </w:rPr>
        <w:t>单位：上海百盛房地产估价有限责任公司</w:t>
      </w:r>
      <w:r w:rsidRPr="00EC3EA7">
        <w:rPr>
          <w:rFonts w:ascii="仿宋_GB2312" w:eastAsia="仿宋_GB2312" w:cs="微软雅黑" w:hint="eastAsia"/>
          <w:sz w:val="28"/>
          <w:szCs w:val="28"/>
        </w:rPr>
        <w:t>）</w:t>
      </w:r>
    </w:p>
    <w:p w:rsidR="00142B78" w:rsidRDefault="00142B78" w:rsidP="00E428FE">
      <w:pPr>
        <w:adjustRightInd w:val="0"/>
        <w:snapToGrid w:val="0"/>
        <w:spacing w:line="360" w:lineRule="auto"/>
        <w:ind w:firstLineChars="200" w:firstLine="640"/>
        <w:jc w:val="both"/>
        <w:rPr>
          <w:rFonts w:ascii="仿宋_GB2312" w:eastAsia="仿宋_GB2312" w:hAnsiTheme="minorEastAsia"/>
          <w:color w:val="000000" w:themeColor="text1"/>
          <w:sz w:val="32"/>
          <w:szCs w:val="32"/>
        </w:rPr>
      </w:pPr>
    </w:p>
    <w:p w:rsidR="003C064D" w:rsidRPr="000A0DEB" w:rsidRDefault="003C064D">
      <w:pPr>
        <w:adjustRightInd w:val="0"/>
        <w:snapToGrid w:val="0"/>
        <w:spacing w:line="360" w:lineRule="auto"/>
        <w:jc w:val="both"/>
        <w:rPr>
          <w:rFonts w:ascii="仿宋_GB2312" w:eastAsia="仿宋_GB2312" w:hAnsiTheme="minorEastAsia"/>
          <w:color w:val="000000" w:themeColor="text1"/>
        </w:rPr>
      </w:pPr>
    </w:p>
    <w:sectPr w:rsidR="003C064D" w:rsidRPr="000A0DEB" w:rsidSect="0051495B">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A70" w:rsidRDefault="00F03A70" w:rsidP="0081169D">
      <w:r>
        <w:separator/>
      </w:r>
    </w:p>
  </w:endnote>
  <w:endnote w:type="continuationSeparator" w:id="0">
    <w:p w:rsidR="00F03A70" w:rsidRDefault="00F03A70" w:rsidP="0081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71247"/>
      <w:docPartObj>
        <w:docPartGallery w:val="Page Numbers (Bottom of Page)"/>
        <w:docPartUnique/>
      </w:docPartObj>
    </w:sdtPr>
    <w:sdtEndPr/>
    <w:sdtContent>
      <w:p w:rsidR="001002F9" w:rsidRDefault="00B5647C">
        <w:pPr>
          <w:pStyle w:val="aa"/>
          <w:jc w:val="center"/>
        </w:pPr>
        <w:r>
          <w:fldChar w:fldCharType="begin"/>
        </w:r>
        <w:r w:rsidR="001002F9">
          <w:instrText>PAGE   \* MERGEFORMAT</w:instrText>
        </w:r>
        <w:r>
          <w:fldChar w:fldCharType="separate"/>
        </w:r>
        <w:r w:rsidR="0016685E" w:rsidRPr="0016685E">
          <w:rPr>
            <w:noProof/>
            <w:lang w:val="zh-CN"/>
          </w:rPr>
          <w:t>9</w:t>
        </w:r>
        <w:r>
          <w:fldChar w:fldCharType="end"/>
        </w:r>
      </w:p>
    </w:sdtContent>
  </w:sdt>
  <w:p w:rsidR="001002F9" w:rsidRDefault="001002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A70" w:rsidRDefault="00F03A70" w:rsidP="0081169D">
      <w:r>
        <w:separator/>
      </w:r>
    </w:p>
  </w:footnote>
  <w:footnote w:type="continuationSeparator" w:id="0">
    <w:p w:rsidR="00F03A70" w:rsidRDefault="00F03A70" w:rsidP="00811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E77"/>
    <w:multiLevelType w:val="multilevel"/>
    <w:tmpl w:val="E98AD172"/>
    <w:lvl w:ilvl="0">
      <w:start w:val="1"/>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1C4311D"/>
    <w:multiLevelType w:val="hybridMultilevel"/>
    <w:tmpl w:val="9C2260BC"/>
    <w:lvl w:ilvl="0" w:tplc="011617E8">
      <w:start w:val="1"/>
      <w:numFmt w:val="japaneseCounting"/>
      <w:lvlText w:val="（%1）"/>
      <w:lvlJc w:val="left"/>
      <w:pPr>
        <w:ind w:left="1751" w:hanging="765"/>
      </w:pPr>
      <w:rPr>
        <w:rFonts w:ascii="宋体" w:eastAsia="宋体" w:hAnsi="宋体" w:hint="default"/>
        <w:b/>
      </w:r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2" w15:restartNumberingAfterBreak="0">
    <w:nsid w:val="1CAC344A"/>
    <w:multiLevelType w:val="hybridMultilevel"/>
    <w:tmpl w:val="83804B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C945DA"/>
    <w:multiLevelType w:val="hybridMultilevel"/>
    <w:tmpl w:val="107A7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CB95696"/>
    <w:multiLevelType w:val="hybridMultilevel"/>
    <w:tmpl w:val="216CB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39B61E3"/>
    <w:multiLevelType w:val="hybridMultilevel"/>
    <w:tmpl w:val="D56E8280"/>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6" w15:restartNumberingAfterBreak="0">
    <w:nsid w:val="462C3956"/>
    <w:multiLevelType w:val="hybridMultilevel"/>
    <w:tmpl w:val="32F09F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986EC3"/>
    <w:multiLevelType w:val="hybridMultilevel"/>
    <w:tmpl w:val="57E6A9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560895"/>
    <w:multiLevelType w:val="hybridMultilevel"/>
    <w:tmpl w:val="B846FE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5430666"/>
    <w:multiLevelType w:val="hybridMultilevel"/>
    <w:tmpl w:val="4B94F8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9F22D77"/>
    <w:multiLevelType w:val="hybridMultilevel"/>
    <w:tmpl w:val="C90684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855853"/>
    <w:multiLevelType w:val="multilevel"/>
    <w:tmpl w:val="0454516E"/>
    <w:lvl w:ilvl="0">
      <w:start w:val="1"/>
      <w:numFmt w:val="decimal"/>
      <w:lvlText w:val="%1."/>
      <w:lvlJc w:val="left"/>
      <w:pPr>
        <w:ind w:left="528" w:hanging="420"/>
      </w:pPr>
    </w:lvl>
    <w:lvl w:ilvl="1">
      <w:start w:val="1"/>
      <w:numFmt w:val="decimal"/>
      <w:isLgl/>
      <w:lvlText w:val="%1.%2"/>
      <w:lvlJc w:val="left"/>
      <w:pPr>
        <w:ind w:left="543" w:hanging="435"/>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908" w:hanging="180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2" w15:restartNumberingAfterBreak="0">
    <w:nsid w:val="7ECB05CA"/>
    <w:multiLevelType w:val="hybridMultilevel"/>
    <w:tmpl w:val="91969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FBA5C15"/>
    <w:multiLevelType w:val="hybridMultilevel"/>
    <w:tmpl w:val="CC4AB4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1"/>
  </w:num>
  <w:num w:numId="4">
    <w:abstractNumId w:val="3"/>
  </w:num>
  <w:num w:numId="5">
    <w:abstractNumId w:val="2"/>
  </w:num>
  <w:num w:numId="6">
    <w:abstractNumId w:val="12"/>
  </w:num>
  <w:num w:numId="7">
    <w:abstractNumId w:val="9"/>
  </w:num>
  <w:num w:numId="8">
    <w:abstractNumId w:val="0"/>
  </w:num>
  <w:num w:numId="9">
    <w:abstractNumId w:val="8"/>
  </w:num>
  <w:num w:numId="10">
    <w:abstractNumId w:val="4"/>
  </w:num>
  <w:num w:numId="11">
    <w:abstractNumId w:val="10"/>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74"/>
    <w:rsid w:val="000176D9"/>
    <w:rsid w:val="00023564"/>
    <w:rsid w:val="000258B1"/>
    <w:rsid w:val="0005507C"/>
    <w:rsid w:val="00061E23"/>
    <w:rsid w:val="00074136"/>
    <w:rsid w:val="000A0DEB"/>
    <w:rsid w:val="000D1AA3"/>
    <w:rsid w:val="001002F9"/>
    <w:rsid w:val="00107442"/>
    <w:rsid w:val="0010766D"/>
    <w:rsid w:val="00115D15"/>
    <w:rsid w:val="001223C1"/>
    <w:rsid w:val="00137093"/>
    <w:rsid w:val="00142B78"/>
    <w:rsid w:val="0016685E"/>
    <w:rsid w:val="001B14A5"/>
    <w:rsid w:val="001C21A4"/>
    <w:rsid w:val="001F53CC"/>
    <w:rsid w:val="001F61E5"/>
    <w:rsid w:val="0020147A"/>
    <w:rsid w:val="002A371E"/>
    <w:rsid w:val="002D5B05"/>
    <w:rsid w:val="002E2D73"/>
    <w:rsid w:val="002E7AB8"/>
    <w:rsid w:val="00312C78"/>
    <w:rsid w:val="0038119B"/>
    <w:rsid w:val="003A6EEF"/>
    <w:rsid w:val="003C064D"/>
    <w:rsid w:val="003E13E1"/>
    <w:rsid w:val="0044538C"/>
    <w:rsid w:val="004624A9"/>
    <w:rsid w:val="004736A8"/>
    <w:rsid w:val="004748EA"/>
    <w:rsid w:val="004C1A56"/>
    <w:rsid w:val="004C21E3"/>
    <w:rsid w:val="004F29A9"/>
    <w:rsid w:val="0051495B"/>
    <w:rsid w:val="00540554"/>
    <w:rsid w:val="00556DC8"/>
    <w:rsid w:val="0055778A"/>
    <w:rsid w:val="005A6867"/>
    <w:rsid w:val="006275DF"/>
    <w:rsid w:val="006405F4"/>
    <w:rsid w:val="006545CC"/>
    <w:rsid w:val="0066242A"/>
    <w:rsid w:val="00674C19"/>
    <w:rsid w:val="006E1DED"/>
    <w:rsid w:val="006F7759"/>
    <w:rsid w:val="00710CFF"/>
    <w:rsid w:val="00731D0C"/>
    <w:rsid w:val="007343A7"/>
    <w:rsid w:val="00772637"/>
    <w:rsid w:val="00785FF4"/>
    <w:rsid w:val="007B008A"/>
    <w:rsid w:val="007C0FB9"/>
    <w:rsid w:val="007C4CBC"/>
    <w:rsid w:val="007E29BA"/>
    <w:rsid w:val="0081169D"/>
    <w:rsid w:val="008E3B27"/>
    <w:rsid w:val="008F5662"/>
    <w:rsid w:val="00907E59"/>
    <w:rsid w:val="00912DCA"/>
    <w:rsid w:val="0092284B"/>
    <w:rsid w:val="00925F48"/>
    <w:rsid w:val="0094052C"/>
    <w:rsid w:val="009561B9"/>
    <w:rsid w:val="00964431"/>
    <w:rsid w:val="00964C0D"/>
    <w:rsid w:val="009870A4"/>
    <w:rsid w:val="009A2525"/>
    <w:rsid w:val="009C69CF"/>
    <w:rsid w:val="00A01324"/>
    <w:rsid w:val="00A155F6"/>
    <w:rsid w:val="00A5354E"/>
    <w:rsid w:val="00AA0407"/>
    <w:rsid w:val="00AA4E79"/>
    <w:rsid w:val="00AC1139"/>
    <w:rsid w:val="00AC58DE"/>
    <w:rsid w:val="00AE3FA2"/>
    <w:rsid w:val="00AF1981"/>
    <w:rsid w:val="00AF3AFC"/>
    <w:rsid w:val="00AF715D"/>
    <w:rsid w:val="00AF7E3A"/>
    <w:rsid w:val="00B208FD"/>
    <w:rsid w:val="00B249D9"/>
    <w:rsid w:val="00B45339"/>
    <w:rsid w:val="00B51D6A"/>
    <w:rsid w:val="00B5647C"/>
    <w:rsid w:val="00B7577A"/>
    <w:rsid w:val="00B8627F"/>
    <w:rsid w:val="00BC552A"/>
    <w:rsid w:val="00C35B7B"/>
    <w:rsid w:val="00C47513"/>
    <w:rsid w:val="00C52334"/>
    <w:rsid w:val="00C67364"/>
    <w:rsid w:val="00C76A0D"/>
    <w:rsid w:val="00C8069F"/>
    <w:rsid w:val="00C924A9"/>
    <w:rsid w:val="00CB6F39"/>
    <w:rsid w:val="00CC3BEA"/>
    <w:rsid w:val="00CC6594"/>
    <w:rsid w:val="00D00D04"/>
    <w:rsid w:val="00D27597"/>
    <w:rsid w:val="00D36EE7"/>
    <w:rsid w:val="00D50E05"/>
    <w:rsid w:val="00D64630"/>
    <w:rsid w:val="00D64674"/>
    <w:rsid w:val="00D65635"/>
    <w:rsid w:val="00D72307"/>
    <w:rsid w:val="00D93CC5"/>
    <w:rsid w:val="00DA5D00"/>
    <w:rsid w:val="00DA798E"/>
    <w:rsid w:val="00DD05D7"/>
    <w:rsid w:val="00E12FBD"/>
    <w:rsid w:val="00E36AF4"/>
    <w:rsid w:val="00E428FE"/>
    <w:rsid w:val="00E90164"/>
    <w:rsid w:val="00EA108E"/>
    <w:rsid w:val="00EA13AD"/>
    <w:rsid w:val="00EC3EA7"/>
    <w:rsid w:val="00EC4444"/>
    <w:rsid w:val="00ED7E04"/>
    <w:rsid w:val="00F03A70"/>
    <w:rsid w:val="00F27A2C"/>
    <w:rsid w:val="00F31C42"/>
    <w:rsid w:val="00F357DA"/>
    <w:rsid w:val="00F35A29"/>
    <w:rsid w:val="00F40830"/>
    <w:rsid w:val="00F40F15"/>
    <w:rsid w:val="00F4587C"/>
    <w:rsid w:val="00F51E53"/>
    <w:rsid w:val="00F73EE7"/>
    <w:rsid w:val="00F74E9A"/>
    <w:rsid w:val="00F82519"/>
    <w:rsid w:val="00FB1DA0"/>
    <w:rsid w:val="00FE46F7"/>
    <w:rsid w:val="00FE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E401"/>
  <w15:docId w15:val="{A3DE5275-862A-4FC4-809F-01D24DB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9CF"/>
    <w:rPr>
      <w:rFonts w:ascii="宋体" w:eastAsia="宋体" w:hAnsi="宋体" w:cs="宋体"/>
      <w:kern w:val="0"/>
      <w:sz w:val="24"/>
      <w:szCs w:val="24"/>
    </w:rPr>
  </w:style>
  <w:style w:type="paragraph" w:styleId="1">
    <w:name w:val="heading 1"/>
    <w:basedOn w:val="a"/>
    <w:next w:val="a"/>
    <w:link w:val="10"/>
    <w:uiPriority w:val="9"/>
    <w:unhideWhenUsed/>
    <w:qFormat/>
    <w:rsid w:val="009C69CF"/>
    <w:pPr>
      <w:spacing w:before="300" w:after="80"/>
      <w:outlineLvl w:val="0"/>
    </w:pPr>
    <w:rPr>
      <w:rFonts w:asciiTheme="majorHAnsi" w:eastAsiaTheme="majorEastAsia" w:hAnsiTheme="majorHAnsi"/>
      <w:caps/>
      <w:color w:val="44546A" w:themeColor="text2"/>
      <w:sz w:val="32"/>
      <w:szCs w:val="32"/>
    </w:rPr>
  </w:style>
  <w:style w:type="paragraph" w:styleId="2">
    <w:name w:val="heading 2"/>
    <w:basedOn w:val="a"/>
    <w:next w:val="a"/>
    <w:link w:val="20"/>
    <w:uiPriority w:val="9"/>
    <w:unhideWhenUsed/>
    <w:qFormat/>
    <w:rsid w:val="000176D9"/>
    <w:pPr>
      <w:spacing w:before="120" w:after="120"/>
      <w:outlineLvl w:val="1"/>
    </w:pPr>
    <w:rPr>
      <w:rFonts w:eastAsia="华文细黑"/>
      <w:b/>
      <w:spacing w:val="20"/>
      <w:szCs w:val="28"/>
    </w:rPr>
  </w:style>
  <w:style w:type="paragraph" w:styleId="3">
    <w:name w:val="heading 3"/>
    <w:basedOn w:val="a"/>
    <w:next w:val="a"/>
    <w:link w:val="30"/>
    <w:uiPriority w:val="9"/>
    <w:unhideWhenUsed/>
    <w:qFormat/>
    <w:rsid w:val="009C69CF"/>
    <w:pPr>
      <w:spacing w:before="240" w:after="60"/>
      <w:outlineLvl w:val="2"/>
    </w:pPr>
    <w:rPr>
      <w:rFonts w:eastAsiaTheme="minorEastAsia"/>
      <w:b/>
      <w:color w:val="000000" w:themeColor="text1"/>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9CF"/>
    <w:rPr>
      <w:rFonts w:asciiTheme="majorHAnsi" w:eastAsiaTheme="majorEastAsia" w:hAnsiTheme="majorHAnsi" w:cs="宋体"/>
      <w:caps/>
      <w:color w:val="44546A" w:themeColor="text2"/>
      <w:kern w:val="0"/>
      <w:sz w:val="32"/>
      <w:szCs w:val="32"/>
    </w:rPr>
  </w:style>
  <w:style w:type="character" w:customStyle="1" w:styleId="20">
    <w:name w:val="标题 2 字符"/>
    <w:basedOn w:val="a0"/>
    <w:link w:val="2"/>
    <w:uiPriority w:val="9"/>
    <w:rsid w:val="000176D9"/>
    <w:rPr>
      <w:rFonts w:ascii="宋体" w:eastAsia="华文细黑" w:hAnsi="宋体" w:cs="宋体"/>
      <w:b/>
      <w:spacing w:val="20"/>
      <w:kern w:val="0"/>
      <w:sz w:val="24"/>
      <w:szCs w:val="28"/>
    </w:rPr>
  </w:style>
  <w:style w:type="character" w:customStyle="1" w:styleId="30">
    <w:name w:val="标题 3 字符"/>
    <w:basedOn w:val="a0"/>
    <w:link w:val="3"/>
    <w:uiPriority w:val="9"/>
    <w:rsid w:val="009C69CF"/>
    <w:rPr>
      <w:rFonts w:ascii="宋体" w:hAnsi="宋体" w:cs="宋体"/>
      <w:b/>
      <w:color w:val="000000" w:themeColor="text1"/>
      <w:spacing w:val="10"/>
      <w:kern w:val="0"/>
      <w:sz w:val="24"/>
      <w:szCs w:val="24"/>
    </w:rPr>
  </w:style>
  <w:style w:type="paragraph" w:styleId="a3">
    <w:name w:val="List Paragraph"/>
    <w:basedOn w:val="a"/>
    <w:uiPriority w:val="34"/>
    <w:unhideWhenUsed/>
    <w:qFormat/>
    <w:rsid w:val="009C69CF"/>
    <w:pPr>
      <w:ind w:left="720"/>
      <w:contextualSpacing/>
    </w:pPr>
  </w:style>
  <w:style w:type="table" w:styleId="a4">
    <w:name w:val="Table Grid"/>
    <w:basedOn w:val="a1"/>
    <w:uiPriority w:val="39"/>
    <w:rsid w:val="009C69CF"/>
    <w:rPr>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C69CF"/>
    <w:pPr>
      <w:spacing w:before="100" w:beforeAutospacing="1" w:after="100" w:afterAutospacing="1"/>
    </w:pPr>
  </w:style>
  <w:style w:type="paragraph" w:styleId="a6">
    <w:name w:val="Balloon Text"/>
    <w:basedOn w:val="a"/>
    <w:link w:val="a7"/>
    <w:uiPriority w:val="99"/>
    <w:semiHidden/>
    <w:unhideWhenUsed/>
    <w:rsid w:val="00540554"/>
    <w:rPr>
      <w:sz w:val="18"/>
      <w:szCs w:val="18"/>
    </w:rPr>
  </w:style>
  <w:style w:type="character" w:customStyle="1" w:styleId="a7">
    <w:name w:val="批注框文本 字符"/>
    <w:basedOn w:val="a0"/>
    <w:link w:val="a6"/>
    <w:uiPriority w:val="99"/>
    <w:semiHidden/>
    <w:rsid w:val="00540554"/>
    <w:rPr>
      <w:rFonts w:ascii="宋体" w:eastAsia="宋体" w:hAnsi="宋体" w:cs="宋体"/>
      <w:kern w:val="0"/>
      <w:sz w:val="18"/>
      <w:szCs w:val="18"/>
    </w:rPr>
  </w:style>
  <w:style w:type="paragraph" w:styleId="a8">
    <w:name w:val="header"/>
    <w:basedOn w:val="a"/>
    <w:link w:val="a9"/>
    <w:uiPriority w:val="99"/>
    <w:unhideWhenUsed/>
    <w:rsid w:val="0081169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1169D"/>
    <w:rPr>
      <w:rFonts w:ascii="宋体" w:eastAsia="宋体" w:hAnsi="宋体" w:cs="宋体"/>
      <w:kern w:val="0"/>
      <w:sz w:val="18"/>
      <w:szCs w:val="18"/>
    </w:rPr>
  </w:style>
  <w:style w:type="paragraph" w:styleId="aa">
    <w:name w:val="footer"/>
    <w:basedOn w:val="a"/>
    <w:link w:val="ab"/>
    <w:uiPriority w:val="99"/>
    <w:unhideWhenUsed/>
    <w:rsid w:val="0081169D"/>
    <w:pPr>
      <w:tabs>
        <w:tab w:val="center" w:pos="4153"/>
        <w:tab w:val="right" w:pos="8306"/>
      </w:tabs>
      <w:snapToGrid w:val="0"/>
    </w:pPr>
    <w:rPr>
      <w:sz w:val="18"/>
      <w:szCs w:val="18"/>
    </w:rPr>
  </w:style>
  <w:style w:type="character" w:customStyle="1" w:styleId="ab">
    <w:name w:val="页脚 字符"/>
    <w:basedOn w:val="a0"/>
    <w:link w:val="aa"/>
    <w:uiPriority w:val="99"/>
    <w:rsid w:val="0081169D"/>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845386">
      <w:bodyDiv w:val="1"/>
      <w:marLeft w:val="0"/>
      <w:marRight w:val="0"/>
      <w:marTop w:val="0"/>
      <w:marBottom w:val="0"/>
      <w:divBdr>
        <w:top w:val="none" w:sz="0" w:space="0" w:color="auto"/>
        <w:left w:val="none" w:sz="0" w:space="0" w:color="auto"/>
        <w:bottom w:val="none" w:sz="0" w:space="0" w:color="auto"/>
        <w:right w:val="none" w:sz="0" w:space="0" w:color="auto"/>
      </w:divBdr>
    </w:div>
    <w:div w:id="1000619802">
      <w:bodyDiv w:val="1"/>
      <w:marLeft w:val="0"/>
      <w:marRight w:val="0"/>
      <w:marTop w:val="0"/>
      <w:marBottom w:val="0"/>
      <w:divBdr>
        <w:top w:val="none" w:sz="0" w:space="0" w:color="auto"/>
        <w:left w:val="none" w:sz="0" w:space="0" w:color="auto"/>
        <w:bottom w:val="none" w:sz="0" w:space="0" w:color="auto"/>
        <w:right w:val="none" w:sz="0" w:space="0" w:color="auto"/>
      </w:divBdr>
    </w:div>
    <w:div w:id="1090585013">
      <w:bodyDiv w:val="1"/>
      <w:marLeft w:val="0"/>
      <w:marRight w:val="0"/>
      <w:marTop w:val="0"/>
      <w:marBottom w:val="0"/>
      <w:divBdr>
        <w:top w:val="none" w:sz="0" w:space="0" w:color="auto"/>
        <w:left w:val="none" w:sz="0" w:space="0" w:color="auto"/>
        <w:bottom w:val="none" w:sz="0" w:space="0" w:color="auto"/>
        <w:right w:val="none" w:sz="0" w:space="0" w:color="auto"/>
      </w:divBdr>
    </w:div>
    <w:div w:id="1621299471">
      <w:bodyDiv w:val="1"/>
      <w:marLeft w:val="0"/>
      <w:marRight w:val="0"/>
      <w:marTop w:val="0"/>
      <w:marBottom w:val="0"/>
      <w:divBdr>
        <w:top w:val="none" w:sz="0" w:space="0" w:color="auto"/>
        <w:left w:val="none" w:sz="0" w:space="0" w:color="auto"/>
        <w:bottom w:val="none" w:sz="0" w:space="0" w:color="auto"/>
        <w:right w:val="none" w:sz="0" w:space="0" w:color="auto"/>
      </w:divBdr>
    </w:div>
    <w:div w:id="20358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0.8\jyb\DATA-jyb\2017\&#30456;&#20851;&#35770;&#25991;\&#30456;&#20851;&#36164;&#26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Sheet2!$D$8</c:f>
              <c:strCache>
                <c:ptCount val="1"/>
                <c:pt idx="0">
                  <c:v>居住用地数量（幅）</c:v>
                </c:pt>
              </c:strCache>
            </c:strRef>
          </c:tx>
          <c:spPr>
            <a:solidFill>
              <a:schemeClr val="accent1"/>
            </a:solidFill>
            <a:ln>
              <a:noFill/>
            </a:ln>
            <a:effectLst/>
          </c:spPr>
          <c:invertIfNegative val="0"/>
          <c:cat>
            <c:numRef>
              <c:f>Sheet2!$E$7:$X$7</c:f>
              <c:numCache>
                <c:formatCode>yyyy"年"m"月"</c:formatCode>
                <c:ptCount val="20"/>
                <c:pt idx="0">
                  <c:v>42370</c:v>
                </c:pt>
                <c:pt idx="1">
                  <c:v>42402</c:v>
                </c:pt>
                <c:pt idx="2">
                  <c:v>42434</c:v>
                </c:pt>
                <c:pt idx="3">
                  <c:v>42466</c:v>
                </c:pt>
                <c:pt idx="4">
                  <c:v>42498</c:v>
                </c:pt>
                <c:pt idx="5">
                  <c:v>42530</c:v>
                </c:pt>
                <c:pt idx="6">
                  <c:v>42562</c:v>
                </c:pt>
                <c:pt idx="7">
                  <c:v>42594</c:v>
                </c:pt>
                <c:pt idx="8">
                  <c:v>42615</c:v>
                </c:pt>
                <c:pt idx="9">
                  <c:v>42646</c:v>
                </c:pt>
                <c:pt idx="10">
                  <c:v>42677</c:v>
                </c:pt>
                <c:pt idx="11">
                  <c:v>42708</c:v>
                </c:pt>
                <c:pt idx="12">
                  <c:v>42739</c:v>
                </c:pt>
                <c:pt idx="13">
                  <c:v>42770</c:v>
                </c:pt>
                <c:pt idx="14">
                  <c:v>42801</c:v>
                </c:pt>
                <c:pt idx="15">
                  <c:v>42832</c:v>
                </c:pt>
                <c:pt idx="16">
                  <c:v>42863</c:v>
                </c:pt>
                <c:pt idx="17">
                  <c:v>42894</c:v>
                </c:pt>
                <c:pt idx="18">
                  <c:v>42925</c:v>
                </c:pt>
                <c:pt idx="19">
                  <c:v>42956</c:v>
                </c:pt>
              </c:numCache>
            </c:numRef>
          </c:cat>
          <c:val>
            <c:numRef>
              <c:f>Sheet2!$E$8:$X$8</c:f>
              <c:numCache>
                <c:formatCode>General</c:formatCode>
                <c:ptCount val="20"/>
                <c:pt idx="0">
                  <c:v>2</c:v>
                </c:pt>
                <c:pt idx="1">
                  <c:v>4</c:v>
                </c:pt>
                <c:pt idx="2">
                  <c:v>4</c:v>
                </c:pt>
                <c:pt idx="3">
                  <c:v>7</c:v>
                </c:pt>
                <c:pt idx="4">
                  <c:v>8</c:v>
                </c:pt>
                <c:pt idx="5">
                  <c:v>12</c:v>
                </c:pt>
                <c:pt idx="6">
                  <c:v>7</c:v>
                </c:pt>
                <c:pt idx="7">
                  <c:v>5</c:v>
                </c:pt>
                <c:pt idx="8">
                  <c:v>10</c:v>
                </c:pt>
                <c:pt idx="9">
                  <c:v>5</c:v>
                </c:pt>
                <c:pt idx="10">
                  <c:v>11</c:v>
                </c:pt>
                <c:pt idx="11">
                  <c:v>24</c:v>
                </c:pt>
                <c:pt idx="12">
                  <c:v>5</c:v>
                </c:pt>
                <c:pt idx="13">
                  <c:v>0</c:v>
                </c:pt>
                <c:pt idx="14">
                  <c:v>2</c:v>
                </c:pt>
                <c:pt idx="15">
                  <c:v>3</c:v>
                </c:pt>
                <c:pt idx="16">
                  <c:v>7</c:v>
                </c:pt>
                <c:pt idx="17">
                  <c:v>13</c:v>
                </c:pt>
                <c:pt idx="18">
                  <c:v>14</c:v>
                </c:pt>
                <c:pt idx="19">
                  <c:v>11</c:v>
                </c:pt>
              </c:numCache>
            </c:numRef>
          </c:val>
          <c:extLst>
            <c:ext xmlns:c16="http://schemas.microsoft.com/office/drawing/2014/chart" uri="{C3380CC4-5D6E-409C-BE32-E72D297353CC}">
              <c16:uniqueId val="{00000000-7FDA-4D12-A66E-8F256EE15177}"/>
            </c:ext>
          </c:extLst>
        </c:ser>
        <c:ser>
          <c:idx val="1"/>
          <c:order val="1"/>
          <c:tx>
            <c:strRef>
              <c:f>Sheet2!$D$9</c:f>
              <c:strCache>
                <c:ptCount val="1"/>
                <c:pt idx="0">
                  <c:v>居住用地面积（㎡）</c:v>
                </c:pt>
              </c:strCache>
            </c:strRef>
          </c:tx>
          <c:spPr>
            <a:solidFill>
              <a:schemeClr val="accent1"/>
            </a:solidFill>
            <a:ln w="25400" cmpd="sng">
              <a:solidFill>
                <a:schemeClr val="accent1"/>
              </a:solidFill>
            </a:ln>
            <a:effectLst/>
          </c:spPr>
          <c:invertIfNegative val="0"/>
          <c:cat>
            <c:numRef>
              <c:f>Sheet2!$E$7:$X$7</c:f>
              <c:numCache>
                <c:formatCode>yyyy"年"m"月"</c:formatCode>
                <c:ptCount val="20"/>
                <c:pt idx="0">
                  <c:v>42370</c:v>
                </c:pt>
                <c:pt idx="1">
                  <c:v>42402</c:v>
                </c:pt>
                <c:pt idx="2">
                  <c:v>42434</c:v>
                </c:pt>
                <c:pt idx="3">
                  <c:v>42466</c:v>
                </c:pt>
                <c:pt idx="4">
                  <c:v>42498</c:v>
                </c:pt>
                <c:pt idx="5">
                  <c:v>42530</c:v>
                </c:pt>
                <c:pt idx="6">
                  <c:v>42562</c:v>
                </c:pt>
                <c:pt idx="7">
                  <c:v>42594</c:v>
                </c:pt>
                <c:pt idx="8">
                  <c:v>42615</c:v>
                </c:pt>
                <c:pt idx="9">
                  <c:v>42646</c:v>
                </c:pt>
                <c:pt idx="10">
                  <c:v>42677</c:v>
                </c:pt>
                <c:pt idx="11">
                  <c:v>42708</c:v>
                </c:pt>
                <c:pt idx="12">
                  <c:v>42739</c:v>
                </c:pt>
                <c:pt idx="13">
                  <c:v>42770</c:v>
                </c:pt>
                <c:pt idx="14">
                  <c:v>42801</c:v>
                </c:pt>
                <c:pt idx="15">
                  <c:v>42832</c:v>
                </c:pt>
                <c:pt idx="16">
                  <c:v>42863</c:v>
                </c:pt>
                <c:pt idx="17">
                  <c:v>42894</c:v>
                </c:pt>
                <c:pt idx="18">
                  <c:v>42925</c:v>
                </c:pt>
                <c:pt idx="19">
                  <c:v>42956</c:v>
                </c:pt>
              </c:numCache>
            </c:numRef>
          </c:cat>
          <c:val>
            <c:numRef>
              <c:f>Sheet2!$E$9:$X$9</c:f>
              <c:numCache>
                <c:formatCode>General</c:formatCode>
                <c:ptCount val="20"/>
                <c:pt idx="0">
                  <c:v>40592.5</c:v>
                </c:pt>
                <c:pt idx="1">
                  <c:v>122663.79999999999</c:v>
                </c:pt>
                <c:pt idx="2">
                  <c:v>149033.80000000002</c:v>
                </c:pt>
                <c:pt idx="3">
                  <c:v>511507</c:v>
                </c:pt>
                <c:pt idx="4">
                  <c:v>342383.3</c:v>
                </c:pt>
                <c:pt idx="5">
                  <c:v>585948.69999999949</c:v>
                </c:pt>
                <c:pt idx="6">
                  <c:v>275877.5</c:v>
                </c:pt>
                <c:pt idx="7">
                  <c:v>139030.6</c:v>
                </c:pt>
                <c:pt idx="8">
                  <c:v>384124.2</c:v>
                </c:pt>
                <c:pt idx="9">
                  <c:v>267551.19999999995</c:v>
                </c:pt>
                <c:pt idx="10">
                  <c:v>684464</c:v>
                </c:pt>
                <c:pt idx="11">
                  <c:v>905659.79999999946</c:v>
                </c:pt>
                <c:pt idx="12">
                  <c:v>243582.3</c:v>
                </c:pt>
                <c:pt idx="13">
                  <c:v>0</c:v>
                </c:pt>
                <c:pt idx="14">
                  <c:v>72577.600000000006</c:v>
                </c:pt>
                <c:pt idx="15">
                  <c:v>65902.2</c:v>
                </c:pt>
                <c:pt idx="16">
                  <c:v>417940.7</c:v>
                </c:pt>
                <c:pt idx="17">
                  <c:v>683743.3</c:v>
                </c:pt>
                <c:pt idx="18">
                  <c:v>904396.80000000005</c:v>
                </c:pt>
                <c:pt idx="19">
                  <c:v>469001.40000000008</c:v>
                </c:pt>
              </c:numCache>
            </c:numRef>
          </c:val>
          <c:extLst>
            <c:ext xmlns:c16="http://schemas.microsoft.com/office/drawing/2014/chart" uri="{C3380CC4-5D6E-409C-BE32-E72D297353CC}">
              <c16:uniqueId val="{00000001-7FDA-4D12-A66E-8F256EE15177}"/>
            </c:ext>
          </c:extLst>
        </c:ser>
        <c:dLbls>
          <c:showLegendKey val="0"/>
          <c:showVal val="0"/>
          <c:showCatName val="0"/>
          <c:showSerName val="0"/>
          <c:showPercent val="0"/>
          <c:showBubbleSize val="0"/>
        </c:dLbls>
        <c:gapWidth val="237"/>
        <c:axId val="89915392"/>
        <c:axId val="89916928"/>
      </c:barChart>
      <c:dateAx>
        <c:axId val="89915392"/>
        <c:scaling>
          <c:orientation val="minMax"/>
        </c:scaling>
        <c:delete val="0"/>
        <c:axPos val="b"/>
        <c:numFmt formatCode="yyyy&quot;年&quot;m&quot;月&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9916928"/>
        <c:crosses val="autoZero"/>
        <c:auto val="1"/>
        <c:lblOffset val="100"/>
        <c:baseTimeUnit val="days"/>
      </c:dateAx>
      <c:valAx>
        <c:axId val="8991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8991539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sz="800"/>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8B9E-1CE0-40E8-8D2F-427EA677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蒋炎冰</dc:creator>
  <cp:keywords/>
  <dc:description/>
  <cp:lastModifiedBy>linling Gong</cp:lastModifiedBy>
  <cp:revision>3</cp:revision>
  <cp:lastPrinted>2017-09-08T01:57:00Z</cp:lastPrinted>
  <dcterms:created xsi:type="dcterms:W3CDTF">2017-10-24T05:06:00Z</dcterms:created>
  <dcterms:modified xsi:type="dcterms:W3CDTF">2017-10-24T06:27:00Z</dcterms:modified>
</cp:coreProperties>
</file>